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E38DACD" w14:textId="77777777" w:rsidR="007A3C4E" w:rsidRDefault="00EC35AC" w:rsidP="007A3C4E">
      <w:pPr>
        <w:pStyle w:val="10"/>
      </w:pPr>
      <w:bookmarkStart w:id="0" w:name="_Toc34673520"/>
      <w:bookmarkStart w:id="1" w:name="_Toc34674142"/>
      <w:bookmarkStart w:id="2" w:name="_Toc34831005"/>
      <w:bookmarkStart w:id="3" w:name="_GoBack"/>
      <w:bookmarkEnd w:id="3"/>
      <w:r>
        <w:t>Σχέση ακαδημαϊκής επίδοσης και νοητικού δυναμικού στο ελληνικό σχολείο</w:t>
      </w:r>
      <w:bookmarkEnd w:id="0"/>
      <w:bookmarkEnd w:id="1"/>
      <w:bookmarkEnd w:id="2"/>
    </w:p>
    <w:p w14:paraId="462EE608" w14:textId="77777777" w:rsidR="00EC35AC" w:rsidRPr="007A3C4E" w:rsidRDefault="00EC35AC" w:rsidP="00486875">
      <w:pPr>
        <w:pStyle w:val="2"/>
      </w:pPr>
      <w:r w:rsidRPr="00BC36A8">
        <w:t>Γεώργιος Γκόγκος</w:t>
      </w:r>
      <w:r w:rsidRPr="00BC36A8">
        <w:rPr>
          <w:vertAlign w:val="superscript"/>
        </w:rPr>
        <w:t xml:space="preserve"> 1</w:t>
      </w:r>
      <w:r w:rsidRPr="00BC36A8">
        <w:t>, Βασιλική Μπελογιάννη</w:t>
      </w:r>
      <w:r w:rsidRPr="00BC36A8">
        <w:rPr>
          <w:vertAlign w:val="superscript"/>
        </w:rPr>
        <w:t xml:space="preserve"> 2</w:t>
      </w:r>
      <w:r w:rsidRPr="00BC36A8">
        <w:t>, Δημήτριος Ζμπάινος</w:t>
      </w:r>
      <w:r w:rsidRPr="00BC36A8">
        <w:rPr>
          <w:vertAlign w:val="superscript"/>
        </w:rPr>
        <w:t xml:space="preserve">2 </w:t>
      </w:r>
    </w:p>
    <w:p w14:paraId="103B888A" w14:textId="77777777" w:rsidR="007A3C4E" w:rsidRDefault="00EC35AC" w:rsidP="007A3C4E">
      <w:pPr>
        <w:pStyle w:val="3"/>
        <w:rPr>
          <w:rStyle w:val="Char8"/>
        </w:rPr>
      </w:pPr>
      <w:r w:rsidRPr="00F4224D">
        <w:rPr>
          <w:vertAlign w:val="superscript"/>
          <w:lang w:eastAsia="en-US"/>
        </w:rPr>
        <w:t xml:space="preserve">1 </w:t>
      </w:r>
      <w:r w:rsidRPr="00145A99">
        <w:rPr>
          <w:rStyle w:val="Char8"/>
        </w:rPr>
        <w:t>Εθνικό Καποδιστριακό Πανεπιστήμιο Αθηνώ</w:t>
      </w:r>
      <w:r w:rsidR="00C30844">
        <w:rPr>
          <w:rStyle w:val="Char8"/>
        </w:rPr>
        <w:t>ν</w:t>
      </w:r>
      <w:r w:rsidR="00BA5BD6">
        <w:rPr>
          <w:rStyle w:val="Char8"/>
        </w:rPr>
        <w:t xml:space="preserve">, </w:t>
      </w:r>
    </w:p>
    <w:p w14:paraId="56F1E27C" w14:textId="77777777" w:rsidR="0063614E" w:rsidRPr="00F4224D" w:rsidRDefault="00EC35AC" w:rsidP="00C30844">
      <w:pPr>
        <w:pStyle w:val="3"/>
        <w:rPr>
          <w:lang w:eastAsia="en-US"/>
        </w:rPr>
      </w:pPr>
      <w:r w:rsidRPr="00F4224D">
        <w:rPr>
          <w:vertAlign w:val="superscript"/>
          <w:lang w:eastAsia="en-US"/>
        </w:rPr>
        <w:t xml:space="preserve">2 </w:t>
      </w:r>
      <w:proofErr w:type="spellStart"/>
      <w:r w:rsidRPr="00145A99">
        <w:rPr>
          <w:lang w:eastAsia="en-US"/>
        </w:rPr>
        <w:t>Χαροκόπειο</w:t>
      </w:r>
      <w:proofErr w:type="spellEnd"/>
      <w:r w:rsidRPr="00145A99">
        <w:rPr>
          <w:lang w:eastAsia="en-US"/>
        </w:rPr>
        <w:t xml:space="preserve"> Πανεπιστήμιο</w:t>
      </w:r>
    </w:p>
    <w:p w14:paraId="188A8C69" w14:textId="77777777" w:rsidR="00EC35AC" w:rsidRPr="007A3C4E" w:rsidRDefault="00EC35AC" w:rsidP="007A3C4E">
      <w:pPr>
        <w:pStyle w:val="AbstractReferencesHeading"/>
        <w:ind w:left="567" w:right="567"/>
        <w:rPr>
          <w:sz w:val="22"/>
          <w:szCs w:val="22"/>
        </w:rPr>
      </w:pPr>
      <w:r w:rsidRPr="007A3C4E">
        <w:rPr>
          <w:rStyle w:val="103Char"/>
          <w:bCs/>
          <w:sz w:val="22"/>
          <w:szCs w:val="22"/>
        </w:rPr>
        <w:t>Περίληψη</w:t>
      </w:r>
    </w:p>
    <w:p w14:paraId="16395810" w14:textId="77777777" w:rsidR="00591434" w:rsidRDefault="00EC35AC" w:rsidP="00591434">
      <w:pPr>
        <w:pStyle w:val="AbstractText"/>
        <w:ind w:left="567" w:right="567"/>
        <w:rPr>
          <w:sz w:val="22"/>
        </w:rPr>
      </w:pPr>
      <w:r w:rsidRPr="007A3C4E">
        <w:rPr>
          <w:sz w:val="22"/>
        </w:rPr>
        <w:t xml:space="preserve">Η σχέση ανάμεσα στο νοητικό δυναμικό και την ακαδημαϊκή επίδοση έχει απασχολήσει συστηματικά την επιστημονική κοινότητα στη διάρκεια του τελευταίου αιώνα, ωστόσο, στον ελληνικό χώρο τα σχετικά ερευνητικά δεδομένα παραμένουν πενιχρά. Υπό αυτή την παραδοχή, η παρούσα έρευνα ασχολείται με τη διερεύνηση της σχέσης μεταξύ νοημοσύνης και ακαδημαϊκής επίδοσης, καθώς και με την εμφάνιση μη αναμενόμενης ακαδημαϊκής </w:t>
      </w:r>
      <w:proofErr w:type="spellStart"/>
      <w:r w:rsidRPr="007A3C4E">
        <w:rPr>
          <w:sz w:val="22"/>
        </w:rPr>
        <w:t>υποεπίδοσης</w:t>
      </w:r>
      <w:proofErr w:type="spellEnd"/>
      <w:r w:rsidRPr="007A3C4E">
        <w:rPr>
          <w:sz w:val="22"/>
        </w:rPr>
        <w:t xml:space="preserve"> και </w:t>
      </w:r>
      <w:proofErr w:type="spellStart"/>
      <w:r w:rsidRPr="007A3C4E">
        <w:rPr>
          <w:sz w:val="22"/>
        </w:rPr>
        <w:t>υπερεπίδοσης</w:t>
      </w:r>
      <w:proofErr w:type="spellEnd"/>
      <w:r w:rsidRPr="007A3C4E">
        <w:rPr>
          <w:sz w:val="22"/>
        </w:rPr>
        <w:t xml:space="preserve">, με βάση τη νοητική ικανότητα των ατόμων. Για τις ανάγκες της έρευνας συστάθηκαν μέσω ευκαιριακής δειγματοληψίας δύο ανεξάρτητα δείγματα 231 μαθητών Δημοτικού και 297 μαθητών Γυμνασίου αντίστοιχα. Μέσω της χορήγησης των Προοδευτικών Μητρών </w:t>
      </w:r>
      <w:r w:rsidRPr="007A3C4E">
        <w:rPr>
          <w:sz w:val="22"/>
          <w:lang w:val="en-US"/>
        </w:rPr>
        <w:t>Raven</w:t>
      </w:r>
      <w:r w:rsidRPr="007A3C4E">
        <w:rPr>
          <w:sz w:val="22"/>
        </w:rPr>
        <w:t xml:space="preserve"> και των σχολικών </w:t>
      </w:r>
      <w:proofErr w:type="spellStart"/>
      <w:r w:rsidRPr="007A3C4E">
        <w:rPr>
          <w:sz w:val="22"/>
        </w:rPr>
        <w:t>καρτέλων</w:t>
      </w:r>
      <w:proofErr w:type="spellEnd"/>
      <w:r w:rsidRPr="007A3C4E">
        <w:rPr>
          <w:sz w:val="22"/>
        </w:rPr>
        <w:t xml:space="preserve"> των μαθητών συλλέχθηκαν δεδομένα αναφορικά με το νοητικό δυναμικό και τις ακαδημαϊκές επιδόσεις τους. Τα αποτελέσματα της έρευνας κατέδειξαν την ύπαρξη θετικής και στατιστικώς σημαντικής σχέσης μεταξύ νοητικής ικανότητας και ακαδημαϊκής επίδοσης. Επιπλέον, εντοπίστηκε ένας σημαντικός αριθμός μαθητών με ακαδημαϊκή </w:t>
      </w:r>
      <w:proofErr w:type="spellStart"/>
      <w:r w:rsidRPr="007A3C4E">
        <w:rPr>
          <w:sz w:val="22"/>
        </w:rPr>
        <w:t>υπόεπίδοση</w:t>
      </w:r>
      <w:proofErr w:type="spellEnd"/>
      <w:r w:rsidRPr="007A3C4E">
        <w:rPr>
          <w:sz w:val="22"/>
        </w:rPr>
        <w:t xml:space="preserve"> και </w:t>
      </w:r>
      <w:proofErr w:type="spellStart"/>
      <w:r w:rsidRPr="007A3C4E">
        <w:rPr>
          <w:sz w:val="22"/>
        </w:rPr>
        <w:t>υπερεπίδοση</w:t>
      </w:r>
      <w:proofErr w:type="spellEnd"/>
      <w:r w:rsidRPr="007A3C4E">
        <w:rPr>
          <w:sz w:val="22"/>
        </w:rPr>
        <w:t xml:space="preserve">. Συμπερασματικά, μπορεί να ειπωθεί </w:t>
      </w:r>
      <w:proofErr w:type="spellStart"/>
      <w:r w:rsidRPr="007A3C4E">
        <w:rPr>
          <w:sz w:val="22"/>
        </w:rPr>
        <w:t>ότιη</w:t>
      </w:r>
      <w:proofErr w:type="spellEnd"/>
      <w:r w:rsidRPr="007A3C4E">
        <w:rPr>
          <w:sz w:val="22"/>
        </w:rPr>
        <w:t xml:space="preserve"> ακαδημαϊκή επίδοση στο ελληνικό σχολείο δομείται ενδεχομένως από πολλούς παράγοντες πέραν των γνωστικών ικανοτήτων τους, ενώ συχνά τα σχολικά επιτεύγματα των μαθητών δεν αντανακλούν το πραγματικό τους νοητικό δυναμικό.</w:t>
      </w:r>
    </w:p>
    <w:p w14:paraId="30F40EF7" w14:textId="77777777" w:rsidR="00EC35AC" w:rsidRPr="00591434" w:rsidRDefault="00EC35AC" w:rsidP="00591434">
      <w:pPr>
        <w:pStyle w:val="6-"/>
        <w:rPr>
          <w:b/>
        </w:rPr>
      </w:pPr>
      <w:r w:rsidRPr="007A3C4E">
        <w:rPr>
          <w:rStyle w:val="Char9"/>
          <w:b w:val="0"/>
          <w:i/>
          <w:iCs/>
          <w:sz w:val="22"/>
          <w:szCs w:val="22"/>
        </w:rPr>
        <w:t>Λέξεις-κλειδιά</w:t>
      </w:r>
      <w:r w:rsidRPr="007A3C4E">
        <w:rPr>
          <w:i/>
          <w:iCs/>
        </w:rPr>
        <w:t>:</w:t>
      </w:r>
      <w:r w:rsidRPr="007A3C4E">
        <w:t xml:space="preserve"> ακαδημαϊκή επίδοση, νοημοσύνη, νοητικό δυναμικό, </w:t>
      </w:r>
      <w:proofErr w:type="spellStart"/>
      <w:r w:rsidRPr="007A3C4E">
        <w:t>υποεπίδοση</w:t>
      </w:r>
      <w:proofErr w:type="spellEnd"/>
      <w:r w:rsidRPr="007A3C4E">
        <w:t xml:space="preserve">, </w:t>
      </w:r>
      <w:proofErr w:type="spellStart"/>
      <w:r w:rsidRPr="007A3C4E">
        <w:t>υπερεπίδοση</w:t>
      </w:r>
      <w:proofErr w:type="spellEnd"/>
    </w:p>
    <w:p w14:paraId="1DEEF991" w14:textId="77777777" w:rsidR="0092280B" w:rsidRPr="0092280B" w:rsidRDefault="0092280B" w:rsidP="0092280B">
      <w:pPr>
        <w:pStyle w:val="71"/>
      </w:pPr>
      <w:r>
        <w:t>Εισαγωγή</w:t>
      </w:r>
    </w:p>
    <w:p w14:paraId="73E8EF5D" w14:textId="77777777" w:rsidR="00276270" w:rsidRDefault="00EC35AC" w:rsidP="007136D3">
      <w:pPr>
        <w:pStyle w:val="8"/>
        <w:rPr>
          <w:rStyle w:val="Chara"/>
        </w:rPr>
        <w:sectPr w:rsidR="00276270" w:rsidSect="00C30844">
          <w:headerReference w:type="first" r:id="rId9"/>
          <w:pgSz w:w="11906" w:h="16838" w:code="9"/>
          <w:pgMar w:top="1701" w:right="1701" w:bottom="1701" w:left="1701" w:header="709" w:footer="420" w:gutter="0"/>
          <w:pgNumType w:start="14"/>
          <w:cols w:space="708"/>
          <w:titlePg/>
          <w:docGrid w:linePitch="360"/>
        </w:sectPr>
      </w:pPr>
      <w:r w:rsidRPr="00145A99">
        <w:rPr>
          <w:rStyle w:val="Chara"/>
        </w:rPr>
        <w:t>Τα ακαδημαϊκά επιτεύγματα είναι ιδιαίτερα σημαντικά τόσο για την κοινωνία, όσο και για το άτομο. Σε κοινωνικό επίπεδο, η ύπαρξη πολιτών με υψηλό μορφωτικό επίπεδο αποτελεί προϋπόθεση για την ανάπτυξη του συνολικού βιοτικού επιπέδου σε ένα συγκεκριμένο κοινωνιολογικό πλαίσιο(</w:t>
      </w:r>
      <w:proofErr w:type="spellStart"/>
      <w:r w:rsidRPr="00145A99">
        <w:rPr>
          <w:rStyle w:val="Chara"/>
        </w:rPr>
        <w:t>Kessler</w:t>
      </w:r>
      <w:proofErr w:type="spellEnd"/>
      <w:r w:rsidRPr="00145A99">
        <w:rPr>
          <w:rStyle w:val="Chara"/>
        </w:rPr>
        <w:t xml:space="preserve">, </w:t>
      </w:r>
      <w:proofErr w:type="spellStart"/>
      <w:r w:rsidRPr="00145A99">
        <w:rPr>
          <w:rStyle w:val="Chara"/>
        </w:rPr>
        <w:t>Foster</w:t>
      </w:r>
      <w:proofErr w:type="spellEnd"/>
      <w:r w:rsidRPr="00145A99">
        <w:rPr>
          <w:rStyle w:val="Chara"/>
        </w:rPr>
        <w:t xml:space="preserve">, </w:t>
      </w:r>
      <w:proofErr w:type="spellStart"/>
      <w:r w:rsidRPr="00145A99">
        <w:rPr>
          <w:rStyle w:val="Chara"/>
        </w:rPr>
        <w:t>Saunders</w:t>
      </w:r>
      <w:proofErr w:type="spellEnd"/>
      <w:r w:rsidRPr="00145A99">
        <w:rPr>
          <w:rStyle w:val="Chara"/>
        </w:rPr>
        <w:t xml:space="preserve">, &amp; </w:t>
      </w:r>
      <w:proofErr w:type="spellStart"/>
      <w:r w:rsidRPr="00145A99">
        <w:rPr>
          <w:rStyle w:val="Chara"/>
        </w:rPr>
        <w:t>Stang</w:t>
      </w:r>
      <w:proofErr w:type="spellEnd"/>
      <w:r w:rsidRPr="00145A99">
        <w:rPr>
          <w:rStyle w:val="Chara"/>
        </w:rPr>
        <w:t>, 1995).</w:t>
      </w:r>
      <w:r w:rsidR="00D53AE1">
        <w:rPr>
          <w:rStyle w:val="Chara"/>
        </w:rPr>
        <w:t xml:space="preserve"> </w:t>
      </w:r>
      <w:r w:rsidRPr="00145A99">
        <w:rPr>
          <w:rStyle w:val="Chara"/>
        </w:rPr>
        <w:t>Σε ατομικό επίπεδο, τα επιτεύγματα του ατόμου σε γνωστικό, μορφωτικό, κοινωνικό και διαπροσωπικό επίπεδο αποτελούν το εκπαιδευτικό του κεφάλαιο, το οποίο συνδέεται με τον ενισχυμένο αυτοέλεγχο του ατόμου, την υιοθέτηση υγιών κοινωνικών συμπεριφορών, τη βελτίωση της κοινωνικής και οικονομικής θέσης του και της συνολικής ποιότητας ζωής (</w:t>
      </w:r>
      <w:proofErr w:type="spellStart"/>
      <w:r w:rsidRPr="00145A99">
        <w:rPr>
          <w:rStyle w:val="Chara"/>
        </w:rPr>
        <w:t>Hartog</w:t>
      </w:r>
      <w:proofErr w:type="spellEnd"/>
      <w:r w:rsidRPr="00145A99">
        <w:rPr>
          <w:rStyle w:val="Chara"/>
        </w:rPr>
        <w:t xml:space="preserve"> &amp; </w:t>
      </w:r>
      <w:proofErr w:type="spellStart"/>
      <w:r w:rsidRPr="00145A99">
        <w:rPr>
          <w:rStyle w:val="Chara"/>
        </w:rPr>
        <w:t>Oosterbeek</w:t>
      </w:r>
      <w:proofErr w:type="spellEnd"/>
      <w:r w:rsidRPr="00145A99">
        <w:rPr>
          <w:rStyle w:val="Chara"/>
        </w:rPr>
        <w:t xml:space="preserve">, 1998; </w:t>
      </w:r>
      <w:proofErr w:type="spellStart"/>
      <w:r w:rsidRPr="00145A99">
        <w:rPr>
          <w:rStyle w:val="Chara"/>
        </w:rPr>
        <w:t>Mirowsky</w:t>
      </w:r>
      <w:proofErr w:type="spellEnd"/>
      <w:r w:rsidRPr="00145A99">
        <w:rPr>
          <w:rStyle w:val="Chara"/>
        </w:rPr>
        <w:t xml:space="preserve"> &amp; </w:t>
      </w:r>
      <w:proofErr w:type="spellStart"/>
      <w:r w:rsidRPr="00145A99">
        <w:rPr>
          <w:rStyle w:val="Chara"/>
        </w:rPr>
        <w:t>Ross</w:t>
      </w:r>
      <w:proofErr w:type="spellEnd"/>
      <w:r w:rsidRPr="00145A99">
        <w:rPr>
          <w:rStyle w:val="Chara"/>
        </w:rPr>
        <w:t>, 2003)</w:t>
      </w:r>
    </w:p>
    <w:p w14:paraId="4A33ABC2" w14:textId="77777777" w:rsidR="007136D3" w:rsidRDefault="00EC35AC" w:rsidP="007136D3">
      <w:pPr>
        <w:pStyle w:val="8"/>
        <w:rPr>
          <w:rStyle w:val="Chara"/>
        </w:rPr>
        <w:sectPr w:rsidR="007136D3" w:rsidSect="007136D3">
          <w:headerReference w:type="default" r:id="rId10"/>
          <w:headerReference w:type="first" r:id="rId11"/>
          <w:type w:val="continuous"/>
          <w:pgSz w:w="11906" w:h="16838" w:code="9"/>
          <w:pgMar w:top="1701" w:right="1701" w:bottom="1701" w:left="1701" w:header="709" w:footer="420" w:gutter="0"/>
          <w:pgNumType w:start="14"/>
          <w:cols w:space="708"/>
          <w:docGrid w:linePitch="360"/>
        </w:sectPr>
      </w:pPr>
      <w:r w:rsidRPr="00145A99">
        <w:rPr>
          <w:rStyle w:val="Chara"/>
        </w:rPr>
        <w:lastRenderedPageBreak/>
        <w:t xml:space="preserve">Στη διάρκεια του τελευταίου αιώνα παρατηρείται αυξημένο επιστημονικό ενδιαφέρον γύρω από τη διερεύνηση της δυνατότητας για μάθηση και κατ’ επέκταση τους παράγοντες που εμποδίζουν ή διευκολύνουν την επίτευξή της. Δεν </w:t>
      </w:r>
    </w:p>
    <w:p w14:paraId="3B511DC0" w14:textId="77777777" w:rsidR="00EC35AC" w:rsidRPr="00145A99" w:rsidRDefault="00EC35AC" w:rsidP="007136D3">
      <w:pPr>
        <w:pStyle w:val="8"/>
        <w:rPr>
          <w:rStyle w:val="Chara"/>
        </w:rPr>
      </w:pPr>
      <w:r w:rsidRPr="00145A99">
        <w:rPr>
          <w:rStyle w:val="Chara"/>
        </w:rPr>
        <w:t>υπάρχει αμφιβολία ότι στο επίκεντρο κάθε συζήτησης που αφορά στη μάθηση και τις διαδικασίες της βρίσκεται η νοημοσύνη, η οποία αντανακλά εν πολλοίς τη γενική ικανότητα ενός ατόμου να μαθαίνει, να επεξεργάζεται πληροφορίες, να κατανοεί και να επιλύει προβλήματα (</w:t>
      </w:r>
      <w:proofErr w:type="spellStart"/>
      <w:r w:rsidRPr="00145A99">
        <w:rPr>
          <w:rStyle w:val="Chara"/>
        </w:rPr>
        <w:t>Illeris</w:t>
      </w:r>
      <w:proofErr w:type="spellEnd"/>
      <w:r w:rsidRPr="00145A99">
        <w:rPr>
          <w:rStyle w:val="Chara"/>
        </w:rPr>
        <w:t xml:space="preserve">, 2018; Johnson, 2007; </w:t>
      </w:r>
      <w:proofErr w:type="spellStart"/>
      <w:r w:rsidRPr="00145A99">
        <w:rPr>
          <w:rStyle w:val="Chara"/>
        </w:rPr>
        <w:t>Sternberg</w:t>
      </w:r>
      <w:proofErr w:type="spellEnd"/>
      <w:r w:rsidRPr="00145A99">
        <w:rPr>
          <w:rStyle w:val="Chara"/>
        </w:rPr>
        <w:t xml:space="preserve">, 2000; </w:t>
      </w:r>
      <w:proofErr w:type="spellStart"/>
      <w:r w:rsidRPr="00145A99">
        <w:rPr>
          <w:rStyle w:val="Chara"/>
        </w:rPr>
        <w:t>Sternberg</w:t>
      </w:r>
      <w:proofErr w:type="spellEnd"/>
      <w:r w:rsidRPr="00145A99">
        <w:rPr>
          <w:rStyle w:val="Chara"/>
        </w:rPr>
        <w:t xml:space="preserve"> &amp; </w:t>
      </w:r>
      <w:proofErr w:type="spellStart"/>
      <w:r w:rsidRPr="00145A99">
        <w:rPr>
          <w:rStyle w:val="Chara"/>
        </w:rPr>
        <w:t>Grigorenko</w:t>
      </w:r>
      <w:proofErr w:type="spellEnd"/>
      <w:r w:rsidRPr="00145A99">
        <w:rPr>
          <w:rStyle w:val="Chara"/>
        </w:rPr>
        <w:t>, 2003).</w:t>
      </w:r>
    </w:p>
    <w:p w14:paraId="31EF1449" w14:textId="77777777" w:rsidR="00EC35AC" w:rsidRPr="00145A99" w:rsidRDefault="00EC35AC" w:rsidP="007136D3">
      <w:pPr>
        <w:pStyle w:val="8"/>
        <w:rPr>
          <w:rStyle w:val="Chara"/>
        </w:rPr>
      </w:pPr>
      <w:r w:rsidRPr="00145A99">
        <w:rPr>
          <w:rStyle w:val="Chara"/>
        </w:rPr>
        <w:t xml:space="preserve">Πράγματι, η άποψη ότι το νοητικό δυναμικό συνδέεται αποφασιστικά με τη μάθηση και την </w:t>
      </w:r>
      <w:proofErr w:type="spellStart"/>
      <w:r w:rsidRPr="00145A99">
        <w:rPr>
          <w:rStyle w:val="Chara"/>
        </w:rPr>
        <w:t>επίδοσησε</w:t>
      </w:r>
      <w:proofErr w:type="spellEnd"/>
      <w:r w:rsidRPr="00145A99">
        <w:rPr>
          <w:rStyle w:val="Chara"/>
        </w:rPr>
        <w:t xml:space="preserve"> σχολικά έργα είναι ευρέως διαδεδομένη. Δεν θα πρέπει, εξάλλου, να παραγνωριστεί το γεγονός ότι απώτερος σκοπός της δημιουργίας των πρώτων τεστ νοημοσύνης ήταν η πρόβλεψη της ακαδημαϊκής επιτυχίας(</w:t>
      </w:r>
      <w:proofErr w:type="spellStart"/>
      <w:r w:rsidRPr="00145A99">
        <w:rPr>
          <w:rStyle w:val="Chara"/>
        </w:rPr>
        <w:t>Deary</w:t>
      </w:r>
      <w:proofErr w:type="spellEnd"/>
      <w:r w:rsidRPr="00145A99">
        <w:rPr>
          <w:rStyle w:val="Chara"/>
        </w:rPr>
        <w:t xml:space="preserve">, </w:t>
      </w:r>
      <w:proofErr w:type="spellStart"/>
      <w:r w:rsidRPr="00145A99">
        <w:rPr>
          <w:rStyle w:val="Chara"/>
        </w:rPr>
        <w:t>Strand</w:t>
      </w:r>
      <w:proofErr w:type="spellEnd"/>
      <w:r w:rsidRPr="00145A99">
        <w:rPr>
          <w:rStyle w:val="Chara"/>
        </w:rPr>
        <w:t xml:space="preserve">, </w:t>
      </w:r>
      <w:proofErr w:type="spellStart"/>
      <w:r w:rsidRPr="00145A99">
        <w:rPr>
          <w:rStyle w:val="Chara"/>
        </w:rPr>
        <w:t>Smith</w:t>
      </w:r>
      <w:proofErr w:type="spellEnd"/>
      <w:r w:rsidRPr="00145A99">
        <w:rPr>
          <w:rStyle w:val="Chara"/>
        </w:rPr>
        <w:t xml:space="preserve">, &amp; </w:t>
      </w:r>
      <w:proofErr w:type="spellStart"/>
      <w:r w:rsidRPr="00145A99">
        <w:rPr>
          <w:rStyle w:val="Chara"/>
        </w:rPr>
        <w:t>Fernandes</w:t>
      </w:r>
      <w:proofErr w:type="spellEnd"/>
      <w:r w:rsidRPr="00145A99">
        <w:rPr>
          <w:rStyle w:val="Chara"/>
        </w:rPr>
        <w:t xml:space="preserve">, 2007; </w:t>
      </w:r>
      <w:proofErr w:type="spellStart"/>
      <w:r w:rsidRPr="00145A99">
        <w:rPr>
          <w:rStyle w:val="Chara"/>
        </w:rPr>
        <w:t>Zenderland</w:t>
      </w:r>
      <w:proofErr w:type="spellEnd"/>
      <w:r w:rsidRPr="00145A99">
        <w:rPr>
          <w:rStyle w:val="Chara"/>
        </w:rPr>
        <w:t>, 1998). Μάλιστα, σε επίπεδο εκπαιδευτικής πολιτικής η διάγνωση τυχόν αποκλίσεων από το μέσο όρο της κατανομής ως προς τη νοητική ικανότητα αποτελεί ικανή συνθήκη για την ένταξη ενός ατόμου στην κατηγορία των μαθητών με ειδικές εκπαιδευτικές ανάγκες και την παροχή ειδικής αγωγής κι εκπαίδευσης (</w:t>
      </w:r>
      <w:proofErr w:type="spellStart"/>
      <w:r w:rsidRPr="00145A99">
        <w:rPr>
          <w:rStyle w:val="Chara"/>
        </w:rPr>
        <w:t>Τζουριάδου</w:t>
      </w:r>
      <w:proofErr w:type="spellEnd"/>
      <w:r w:rsidRPr="00145A99">
        <w:rPr>
          <w:rStyle w:val="Chara"/>
        </w:rPr>
        <w:t>, 2011).</w:t>
      </w:r>
    </w:p>
    <w:p w14:paraId="3BE9FD93" w14:textId="77777777" w:rsidR="00EC35AC" w:rsidRPr="00145A99" w:rsidRDefault="00EC35AC" w:rsidP="007136D3">
      <w:pPr>
        <w:pStyle w:val="8"/>
        <w:rPr>
          <w:rStyle w:val="Chara"/>
        </w:rPr>
      </w:pPr>
      <w:r w:rsidRPr="00145A99">
        <w:rPr>
          <w:rStyle w:val="Chara"/>
        </w:rPr>
        <w:t>Όπως υποδεικνύουν προηγούμενες έρευνες ο βαθμός συσχέτισης ανάμεσα στο δείκτη νοημοσύνης και την ακαδημαϊκή επίδοση των μαθητών φαίνεται να είναι υψηλός, χωρίς ωστόσο το νοητικό δυναμικό να μπορεί να εξηγήσει απόλυτα τη διακύμανση στη σχολική βαθμολογία (</w:t>
      </w:r>
      <w:proofErr w:type="spellStart"/>
      <w:r w:rsidRPr="00145A99">
        <w:rPr>
          <w:rStyle w:val="Chara"/>
        </w:rPr>
        <w:t>Sternberg</w:t>
      </w:r>
      <w:proofErr w:type="spellEnd"/>
      <w:r w:rsidRPr="00145A99">
        <w:rPr>
          <w:rStyle w:val="Chara"/>
        </w:rPr>
        <w:t xml:space="preserve"> &amp; </w:t>
      </w:r>
      <w:proofErr w:type="spellStart"/>
      <w:r w:rsidRPr="00145A99">
        <w:rPr>
          <w:rStyle w:val="Chara"/>
        </w:rPr>
        <w:t>Grigorenko</w:t>
      </w:r>
      <w:proofErr w:type="spellEnd"/>
      <w:r w:rsidRPr="00145A99">
        <w:rPr>
          <w:rStyle w:val="Chara"/>
        </w:rPr>
        <w:t>, 2003). Ειδικότερα, σύμφωνα με ορισμένες έρευνες, το νοητικό πηλίκο ενός ατόμου μπορεί να ερμηνεύσει περίπου το 25-49% της διακύμανσης στις σχολικές επιδόσεις του (</w:t>
      </w:r>
      <w:proofErr w:type="spellStart"/>
      <w:r w:rsidRPr="00145A99">
        <w:rPr>
          <w:rStyle w:val="Chara"/>
        </w:rPr>
        <w:t>Anderson</w:t>
      </w:r>
      <w:proofErr w:type="spellEnd"/>
      <w:r w:rsidRPr="00145A99">
        <w:rPr>
          <w:rStyle w:val="Chara"/>
        </w:rPr>
        <w:t xml:space="preserve"> &amp; </w:t>
      </w:r>
      <w:proofErr w:type="spellStart"/>
      <w:r w:rsidRPr="00145A99">
        <w:rPr>
          <w:rStyle w:val="Chara"/>
        </w:rPr>
        <w:t>Keith</w:t>
      </w:r>
      <w:proofErr w:type="spellEnd"/>
      <w:r w:rsidRPr="00145A99">
        <w:rPr>
          <w:rStyle w:val="Chara"/>
        </w:rPr>
        <w:t xml:space="preserve">, 1997; </w:t>
      </w:r>
      <w:proofErr w:type="spellStart"/>
      <w:r w:rsidRPr="00145A99">
        <w:rPr>
          <w:rStyle w:val="Chara"/>
        </w:rPr>
        <w:t>Neisser</w:t>
      </w:r>
      <w:proofErr w:type="spellEnd"/>
      <w:r w:rsidRPr="00145A99">
        <w:rPr>
          <w:rStyle w:val="Chara"/>
        </w:rPr>
        <w:t xml:space="preserve"> </w:t>
      </w:r>
      <w:proofErr w:type="spellStart"/>
      <w:r w:rsidRPr="00145A99">
        <w:rPr>
          <w:rStyle w:val="Chara"/>
        </w:rPr>
        <w:t>et</w:t>
      </w:r>
      <w:proofErr w:type="spellEnd"/>
      <w:r w:rsidRPr="00145A99">
        <w:rPr>
          <w:rStyle w:val="Chara"/>
        </w:rPr>
        <w:t xml:space="preserve"> </w:t>
      </w:r>
      <w:proofErr w:type="spellStart"/>
      <w:r w:rsidRPr="00145A99">
        <w:rPr>
          <w:rStyle w:val="Chara"/>
        </w:rPr>
        <w:t>al</w:t>
      </w:r>
      <w:proofErr w:type="spellEnd"/>
      <w:r w:rsidRPr="00145A99">
        <w:rPr>
          <w:rStyle w:val="Chara"/>
        </w:rPr>
        <w:t xml:space="preserve">., 1996; </w:t>
      </w:r>
      <w:proofErr w:type="spellStart"/>
      <w:r w:rsidRPr="00145A99">
        <w:rPr>
          <w:rStyle w:val="Chara"/>
        </w:rPr>
        <w:t>Reis</w:t>
      </w:r>
      <w:proofErr w:type="spellEnd"/>
      <w:r w:rsidRPr="00145A99">
        <w:rPr>
          <w:rStyle w:val="Chara"/>
        </w:rPr>
        <w:t xml:space="preserve"> &amp; </w:t>
      </w:r>
      <w:proofErr w:type="spellStart"/>
      <w:r w:rsidRPr="00145A99">
        <w:rPr>
          <w:rStyle w:val="Chara"/>
        </w:rPr>
        <w:t>McCoach</w:t>
      </w:r>
      <w:proofErr w:type="spellEnd"/>
      <w:r w:rsidRPr="00145A99">
        <w:rPr>
          <w:rStyle w:val="Chara"/>
        </w:rPr>
        <w:t xml:space="preserve">, 2000; </w:t>
      </w:r>
      <w:proofErr w:type="spellStart"/>
      <w:r w:rsidRPr="00145A99">
        <w:rPr>
          <w:rStyle w:val="Chara"/>
        </w:rPr>
        <w:t>Soares</w:t>
      </w:r>
      <w:proofErr w:type="spellEnd"/>
      <w:r w:rsidRPr="00145A99">
        <w:rPr>
          <w:rStyle w:val="Chara"/>
        </w:rPr>
        <w:t xml:space="preserve">, </w:t>
      </w:r>
      <w:proofErr w:type="spellStart"/>
      <w:r w:rsidRPr="00145A99">
        <w:rPr>
          <w:rStyle w:val="Chara"/>
        </w:rPr>
        <w:t>Lemos</w:t>
      </w:r>
      <w:proofErr w:type="spellEnd"/>
      <w:r w:rsidRPr="00145A99">
        <w:rPr>
          <w:rStyle w:val="Chara"/>
        </w:rPr>
        <w:t xml:space="preserve">, </w:t>
      </w:r>
      <w:proofErr w:type="spellStart"/>
      <w:r w:rsidRPr="00145A99">
        <w:rPr>
          <w:rStyle w:val="Chara"/>
        </w:rPr>
        <w:t>Primi</w:t>
      </w:r>
      <w:proofErr w:type="spellEnd"/>
      <w:r w:rsidRPr="00145A99">
        <w:rPr>
          <w:rStyle w:val="Chara"/>
        </w:rPr>
        <w:t xml:space="preserve">, &amp; </w:t>
      </w:r>
      <w:proofErr w:type="spellStart"/>
      <w:r w:rsidRPr="00145A99">
        <w:rPr>
          <w:rStyle w:val="Chara"/>
        </w:rPr>
        <w:t>Almeida</w:t>
      </w:r>
      <w:proofErr w:type="spellEnd"/>
      <w:r w:rsidRPr="00145A99">
        <w:rPr>
          <w:rStyle w:val="Chara"/>
        </w:rPr>
        <w:t xml:space="preserve">, 2015). Ωστόσο, όπως υπογραμμίζουν οι </w:t>
      </w:r>
      <w:proofErr w:type="spellStart"/>
      <w:r w:rsidRPr="00145A99">
        <w:rPr>
          <w:rStyle w:val="Chara"/>
        </w:rPr>
        <w:t>Rohde</w:t>
      </w:r>
      <w:proofErr w:type="spellEnd"/>
      <w:r w:rsidRPr="00145A99">
        <w:rPr>
          <w:rStyle w:val="Chara"/>
        </w:rPr>
        <w:t xml:space="preserve"> και </w:t>
      </w:r>
      <w:proofErr w:type="spellStart"/>
      <w:r w:rsidRPr="00145A99">
        <w:rPr>
          <w:rStyle w:val="Chara"/>
        </w:rPr>
        <w:t>Thompson</w:t>
      </w:r>
      <w:proofErr w:type="spellEnd"/>
      <w:r w:rsidRPr="00145A99">
        <w:rPr>
          <w:rStyle w:val="Chara"/>
        </w:rPr>
        <w:t xml:space="preserve"> (2007) ένα ποσοστό της τάξεως του 51-75% της διακύμανσης των ακαδημαϊκών επιδόσεων δεν φαίνεται να ερμηνεύεται ικανοποιητικά από το νοητικό δυναμικό των μαθητών. Κατά συνέπεια, φαίνεται ότι άλλοι παράγοντες, πέραν της νοημοσύνης, επηρεάζουν εξίσου σημαντικά την ακαδημαϊκή επίδοση των μαθητών, όπως το φύλο και η πολιτισμική καταγωγή (</w:t>
      </w:r>
      <w:proofErr w:type="spellStart"/>
      <w:r w:rsidRPr="00145A99">
        <w:rPr>
          <w:rStyle w:val="Chara"/>
        </w:rPr>
        <w:t>Dustmann</w:t>
      </w:r>
      <w:proofErr w:type="spellEnd"/>
      <w:r w:rsidRPr="00145A99">
        <w:rPr>
          <w:rStyle w:val="Chara"/>
        </w:rPr>
        <w:t xml:space="preserve">, </w:t>
      </w:r>
      <w:proofErr w:type="spellStart"/>
      <w:r w:rsidRPr="00145A99">
        <w:rPr>
          <w:rStyle w:val="Chara"/>
        </w:rPr>
        <w:t>Machin</w:t>
      </w:r>
      <w:proofErr w:type="spellEnd"/>
      <w:r w:rsidRPr="00145A99">
        <w:rPr>
          <w:rStyle w:val="Chara"/>
        </w:rPr>
        <w:t xml:space="preserve">, &amp; </w:t>
      </w:r>
      <w:proofErr w:type="spellStart"/>
      <w:r w:rsidRPr="00145A99">
        <w:rPr>
          <w:rStyle w:val="Chara"/>
        </w:rPr>
        <w:t>Schönberg</w:t>
      </w:r>
      <w:proofErr w:type="spellEnd"/>
      <w:r w:rsidRPr="00145A99">
        <w:rPr>
          <w:rStyle w:val="Chara"/>
        </w:rPr>
        <w:t xml:space="preserve">, 2010; </w:t>
      </w:r>
      <w:proofErr w:type="spellStart"/>
      <w:r w:rsidRPr="00145A99">
        <w:rPr>
          <w:rStyle w:val="Chara"/>
        </w:rPr>
        <w:t>Hubbard</w:t>
      </w:r>
      <w:proofErr w:type="spellEnd"/>
      <w:r w:rsidRPr="00145A99">
        <w:rPr>
          <w:rStyle w:val="Chara"/>
        </w:rPr>
        <w:t xml:space="preserve">, 2005; </w:t>
      </w:r>
      <w:proofErr w:type="spellStart"/>
      <w:r w:rsidRPr="00145A99">
        <w:rPr>
          <w:rStyle w:val="Chara"/>
        </w:rPr>
        <w:t>Sternberg</w:t>
      </w:r>
      <w:proofErr w:type="spellEnd"/>
      <w:r w:rsidRPr="00145A99">
        <w:rPr>
          <w:rStyle w:val="Chara"/>
        </w:rPr>
        <w:t xml:space="preserve"> &amp; </w:t>
      </w:r>
      <w:proofErr w:type="spellStart"/>
      <w:r w:rsidRPr="00145A99">
        <w:rPr>
          <w:rStyle w:val="Chara"/>
        </w:rPr>
        <w:t>Zhang</w:t>
      </w:r>
      <w:proofErr w:type="spellEnd"/>
      <w:r w:rsidRPr="00145A99">
        <w:rPr>
          <w:rStyle w:val="Chara"/>
        </w:rPr>
        <w:t xml:space="preserve">, 2001; </w:t>
      </w:r>
      <w:proofErr w:type="spellStart"/>
      <w:r w:rsidRPr="00145A99">
        <w:rPr>
          <w:rStyle w:val="Chara"/>
        </w:rPr>
        <w:t>Weis</w:t>
      </w:r>
      <w:proofErr w:type="spellEnd"/>
      <w:r w:rsidRPr="00145A99">
        <w:rPr>
          <w:rStyle w:val="Chara"/>
        </w:rPr>
        <w:t xml:space="preserve">, </w:t>
      </w:r>
      <w:proofErr w:type="spellStart"/>
      <w:r w:rsidRPr="00145A99">
        <w:rPr>
          <w:rStyle w:val="Chara"/>
        </w:rPr>
        <w:t>Heikamp</w:t>
      </w:r>
      <w:proofErr w:type="spellEnd"/>
      <w:r w:rsidRPr="00145A99">
        <w:rPr>
          <w:rStyle w:val="Chara"/>
        </w:rPr>
        <w:t xml:space="preserve">, &amp; </w:t>
      </w:r>
      <w:proofErr w:type="spellStart"/>
      <w:r w:rsidRPr="00145A99">
        <w:rPr>
          <w:rStyle w:val="Chara"/>
        </w:rPr>
        <w:t>Trommsdorff</w:t>
      </w:r>
      <w:proofErr w:type="spellEnd"/>
      <w:r w:rsidRPr="00145A99">
        <w:rPr>
          <w:rStyle w:val="Chara"/>
        </w:rPr>
        <w:t>, 2013).</w:t>
      </w:r>
    </w:p>
    <w:p w14:paraId="1AB1CE11" w14:textId="77777777" w:rsidR="00EC35AC" w:rsidRPr="00145A99" w:rsidRDefault="00EC35AC" w:rsidP="007136D3">
      <w:pPr>
        <w:pStyle w:val="8"/>
        <w:rPr>
          <w:rStyle w:val="Chara"/>
        </w:rPr>
      </w:pPr>
      <w:r w:rsidRPr="00145A99">
        <w:rPr>
          <w:rStyle w:val="Chara"/>
        </w:rPr>
        <w:t xml:space="preserve">Μολονότι η ακαδημαϊκή επίδοση δεν εξαρτάται αποκλειστικά από τη νοητική του ικανότητα, η απόκλιση μεταξύ των δύο έχει χρησιμοποιηθεί συστηματικά για τον </w:t>
      </w:r>
      <w:proofErr w:type="spellStart"/>
      <w:r w:rsidRPr="00145A99">
        <w:rPr>
          <w:rStyle w:val="Chara"/>
        </w:rPr>
        <w:t>εντοπισμόμαθητών</w:t>
      </w:r>
      <w:proofErr w:type="spellEnd"/>
      <w:r w:rsidRPr="00145A99">
        <w:rPr>
          <w:rStyle w:val="Chara"/>
        </w:rPr>
        <w:t xml:space="preserve"> με ακαδημαϊκή </w:t>
      </w:r>
      <w:proofErr w:type="spellStart"/>
      <w:r w:rsidRPr="00145A99">
        <w:rPr>
          <w:rStyle w:val="Chara"/>
        </w:rPr>
        <w:t>υποεπίδοση</w:t>
      </w:r>
      <w:proofErr w:type="spellEnd"/>
      <w:r w:rsidRPr="00145A99">
        <w:rPr>
          <w:rStyle w:val="Chara"/>
        </w:rPr>
        <w:t xml:space="preserve"> ή </w:t>
      </w:r>
      <w:proofErr w:type="spellStart"/>
      <w:r w:rsidRPr="00145A99">
        <w:rPr>
          <w:rStyle w:val="Chara"/>
        </w:rPr>
        <w:t>υπερεπίδοση</w:t>
      </w:r>
      <w:proofErr w:type="spellEnd"/>
      <w:r w:rsidRPr="00145A99">
        <w:rPr>
          <w:rStyle w:val="Chara"/>
        </w:rPr>
        <w:t xml:space="preserve">. Ειδικότερα, η ακαδημαϊκή </w:t>
      </w:r>
      <w:proofErr w:type="spellStart"/>
      <w:r w:rsidRPr="00145A99">
        <w:rPr>
          <w:rStyle w:val="Chara"/>
        </w:rPr>
        <w:t>υποεπίδοση</w:t>
      </w:r>
      <w:proofErr w:type="spellEnd"/>
      <w:r w:rsidRPr="00145A99">
        <w:rPr>
          <w:rStyle w:val="Chara"/>
        </w:rPr>
        <w:t xml:space="preserve"> αφορά το φαινόμενο εκείνο κατά το οποίο ένας μαθητής παρουσιάζει μειωμένα ακαδημαϊκά επιτεύγματα σε σχέση με αυτά που προβλέπει το νοητικό του δυναμικό (</w:t>
      </w:r>
      <w:proofErr w:type="spellStart"/>
      <w:r w:rsidRPr="00145A99">
        <w:rPr>
          <w:rStyle w:val="Chara"/>
        </w:rPr>
        <w:t>Reis</w:t>
      </w:r>
      <w:proofErr w:type="spellEnd"/>
      <w:r w:rsidRPr="00145A99">
        <w:rPr>
          <w:rStyle w:val="Chara"/>
        </w:rPr>
        <w:t xml:space="preserve"> &amp; </w:t>
      </w:r>
      <w:proofErr w:type="spellStart"/>
      <w:r w:rsidRPr="00145A99">
        <w:rPr>
          <w:rStyle w:val="Chara"/>
        </w:rPr>
        <w:t>McCoach</w:t>
      </w:r>
      <w:proofErr w:type="spellEnd"/>
      <w:r w:rsidRPr="00145A99">
        <w:rPr>
          <w:rStyle w:val="Chara"/>
        </w:rPr>
        <w:t xml:space="preserve">, 2000). Η </w:t>
      </w:r>
      <w:proofErr w:type="spellStart"/>
      <w:r w:rsidRPr="00145A99">
        <w:rPr>
          <w:rStyle w:val="Chara"/>
        </w:rPr>
        <w:t>υποεπίδοση</w:t>
      </w:r>
      <w:proofErr w:type="spellEnd"/>
      <w:r w:rsidRPr="00145A99">
        <w:rPr>
          <w:rStyle w:val="Chara"/>
        </w:rPr>
        <w:t xml:space="preserve"> αφορά μαθητές από όλο το φάσμα των σχολικών ικανοτήτων, ωστόσο, οι επιπτώσεις της είναι εμφανέστερες κι ευρύτερες σε ορισμένες ομάδες μαθητών, όπως είναι τα άτομα που προέρχονται από μειονεκτικά κοινωνικοοικονομικά περιβάλλοντα ή οι μαθητές υψηλών ικανοτήτων(</w:t>
      </w:r>
      <w:proofErr w:type="spellStart"/>
      <w:r w:rsidRPr="00145A99">
        <w:rPr>
          <w:rStyle w:val="Chara"/>
        </w:rPr>
        <w:t>Montgomery</w:t>
      </w:r>
      <w:proofErr w:type="spellEnd"/>
      <w:r w:rsidRPr="00145A99">
        <w:rPr>
          <w:rStyle w:val="Chara"/>
        </w:rPr>
        <w:t xml:space="preserve">, 2009). Από την άλλη πλευρά, η ακαδημαϊκή </w:t>
      </w:r>
      <w:proofErr w:type="spellStart"/>
      <w:r w:rsidRPr="00145A99">
        <w:rPr>
          <w:rStyle w:val="Chara"/>
        </w:rPr>
        <w:t>υπερεπίδοση</w:t>
      </w:r>
      <w:proofErr w:type="spellEnd"/>
      <w:r w:rsidRPr="00145A99">
        <w:rPr>
          <w:rStyle w:val="Chara"/>
        </w:rPr>
        <w:t xml:space="preserve"> αναφέρεται σε περιπτώσεις στις οποίες τα ακαδημαϊκά επιτεύγματα του ατόμου είναι υψηλότερα από εκείνα που προβλέπει το νοητικό δυναμικό του(</w:t>
      </w:r>
      <w:proofErr w:type="spellStart"/>
      <w:r w:rsidRPr="00145A99">
        <w:rPr>
          <w:rStyle w:val="Chara"/>
        </w:rPr>
        <w:t>Brewer</w:t>
      </w:r>
      <w:proofErr w:type="spellEnd"/>
      <w:r w:rsidRPr="00145A99">
        <w:rPr>
          <w:rStyle w:val="Chara"/>
        </w:rPr>
        <w:t xml:space="preserve">, </w:t>
      </w:r>
      <w:proofErr w:type="spellStart"/>
      <w:r w:rsidRPr="00145A99">
        <w:rPr>
          <w:rStyle w:val="Chara"/>
        </w:rPr>
        <w:t>Hollingsworth</w:t>
      </w:r>
      <w:proofErr w:type="spellEnd"/>
      <w:r w:rsidRPr="00145A99">
        <w:rPr>
          <w:rStyle w:val="Chara"/>
        </w:rPr>
        <w:t xml:space="preserve">, &amp; </w:t>
      </w:r>
      <w:proofErr w:type="spellStart"/>
      <w:r w:rsidRPr="00145A99">
        <w:rPr>
          <w:rStyle w:val="Chara"/>
        </w:rPr>
        <w:t>Campbell</w:t>
      </w:r>
      <w:proofErr w:type="spellEnd"/>
      <w:r w:rsidRPr="00145A99">
        <w:rPr>
          <w:rStyle w:val="Chara"/>
        </w:rPr>
        <w:t xml:space="preserve">, 1995). Η εμφάνιση </w:t>
      </w:r>
      <w:proofErr w:type="spellStart"/>
      <w:r w:rsidRPr="00145A99">
        <w:rPr>
          <w:rStyle w:val="Chara"/>
        </w:rPr>
        <w:t>υπερεπίδοσης</w:t>
      </w:r>
      <w:proofErr w:type="spellEnd"/>
      <w:r w:rsidRPr="00145A99">
        <w:rPr>
          <w:rStyle w:val="Chara"/>
        </w:rPr>
        <w:t xml:space="preserve"> έχει συχνά αιτιολογηθεί μάλλον ως ένα σύμπτωμα της προβληματικής της εκπαιδευτικής αξιολόγησης, παρά ως μια μη αναμενόμενη, αλλά υπαρκτή βελτίωση της μαθησιακής ικανότητας του παιδιού (</w:t>
      </w:r>
      <w:proofErr w:type="spellStart"/>
      <w:r w:rsidRPr="00145A99">
        <w:rPr>
          <w:rStyle w:val="Chara"/>
        </w:rPr>
        <w:t>Behrens</w:t>
      </w:r>
      <w:proofErr w:type="spellEnd"/>
      <w:r w:rsidRPr="00145A99">
        <w:rPr>
          <w:rStyle w:val="Chara"/>
        </w:rPr>
        <w:t xml:space="preserve"> &amp; </w:t>
      </w:r>
      <w:proofErr w:type="spellStart"/>
      <w:r w:rsidRPr="00145A99">
        <w:rPr>
          <w:rStyle w:val="Chara"/>
        </w:rPr>
        <w:t>Vernon</w:t>
      </w:r>
      <w:proofErr w:type="spellEnd"/>
      <w:r w:rsidRPr="00145A99">
        <w:rPr>
          <w:rStyle w:val="Chara"/>
        </w:rPr>
        <w:t xml:space="preserve">, </w:t>
      </w:r>
      <w:r w:rsidRPr="00145A99">
        <w:rPr>
          <w:rStyle w:val="Chara"/>
        </w:rPr>
        <w:lastRenderedPageBreak/>
        <w:t xml:space="preserve">1978; </w:t>
      </w:r>
      <w:proofErr w:type="spellStart"/>
      <w:r w:rsidRPr="00145A99">
        <w:rPr>
          <w:rStyle w:val="Chara"/>
        </w:rPr>
        <w:t>Duff</w:t>
      </w:r>
      <w:proofErr w:type="spellEnd"/>
      <w:r w:rsidRPr="00145A99">
        <w:rPr>
          <w:rStyle w:val="Chara"/>
        </w:rPr>
        <w:t xml:space="preserve"> &amp; </w:t>
      </w:r>
      <w:proofErr w:type="spellStart"/>
      <w:r w:rsidRPr="00145A99">
        <w:rPr>
          <w:rStyle w:val="Chara"/>
        </w:rPr>
        <w:t>Siegel</w:t>
      </w:r>
      <w:proofErr w:type="spellEnd"/>
      <w:r w:rsidRPr="00145A99">
        <w:rPr>
          <w:rStyle w:val="Chara"/>
        </w:rPr>
        <w:t xml:space="preserve">, 1960; </w:t>
      </w:r>
      <w:proofErr w:type="spellStart"/>
      <w:r w:rsidRPr="00145A99">
        <w:rPr>
          <w:rStyle w:val="Chara"/>
        </w:rPr>
        <w:t>Preckel</w:t>
      </w:r>
      <w:proofErr w:type="spellEnd"/>
      <w:r w:rsidRPr="00145A99">
        <w:rPr>
          <w:rStyle w:val="Chara"/>
        </w:rPr>
        <w:t xml:space="preserve"> &amp; </w:t>
      </w:r>
      <w:proofErr w:type="spellStart"/>
      <w:r w:rsidRPr="00145A99">
        <w:rPr>
          <w:rStyle w:val="Chara"/>
        </w:rPr>
        <w:t>Brunner</w:t>
      </w:r>
      <w:proofErr w:type="spellEnd"/>
      <w:r w:rsidRPr="00145A99">
        <w:rPr>
          <w:rStyle w:val="Chara"/>
        </w:rPr>
        <w:t>, 2015). Στον ελληνικό χώρο η βιβλιογραφία γύρω από τη σχέση ανάμεσα στην νοημοσύνη και την ακαδημαϊκή επίδοση παραμένει περιορισμένη. Παράλληλα, η έλλειψη σταθμισμένων εργαλείων για τη μέτρηση της ακαδημαϊκής επίδοσης και το ασαφές πλαίσιο της εκπαιδευτικής αξιολόγησης, τόσο στην πρωτοβάθμια, όσο και στη δευτεροβάθμια εκπαίδευση καθιστά ασαφή τη σχέση ανάμεσα στο σχολικό βαθμό και το νοητικό δυναμικό των μαθητών(OECD, 2017). Επιπλέον, εκτός από τις περιπτώσεις μαθητών που εμπίπτουν στις διάφορες κατηγορίες της ειδικής αγωγής κι εκπαίδευσης, δεν προσφέρεται κάποια μέθοδος εκτίμησης της αναμενόμενης ακαδημαϊκής επίδοσης των μαθητών μέσω της αξιολόγησης των γνωστικών ικανοτήτων τους (</w:t>
      </w:r>
      <w:proofErr w:type="spellStart"/>
      <w:r w:rsidRPr="00145A99">
        <w:rPr>
          <w:rStyle w:val="Chara"/>
        </w:rPr>
        <w:t>EuropeanCommision</w:t>
      </w:r>
      <w:proofErr w:type="spellEnd"/>
      <w:r w:rsidRPr="00145A99">
        <w:rPr>
          <w:rStyle w:val="Chara"/>
        </w:rPr>
        <w:t xml:space="preserve">, 2017). Ως εκ τούτου, ο βαθμός στον οποίο η ακαδημαϊκή επίδοση στο ελληνικό σχολείο αντανακλά τη μαθησιακή ικανότητα παραμένει αδιευκρίνιστος. </w:t>
      </w:r>
    </w:p>
    <w:p w14:paraId="323B179A" w14:textId="77777777" w:rsidR="00EC35AC" w:rsidRPr="00145A99" w:rsidRDefault="00EC35AC" w:rsidP="007136D3">
      <w:pPr>
        <w:pStyle w:val="8"/>
        <w:rPr>
          <w:rStyle w:val="Chara"/>
        </w:rPr>
      </w:pPr>
      <w:r w:rsidRPr="00145A99">
        <w:rPr>
          <w:rStyle w:val="Chara"/>
        </w:rPr>
        <w:t>Λαμβάνοντας υπόψη τα παραπάνω, η παρούσα έρευνα ασχολείται με τη διερεύνηση της σχέσης ανάμεσα στην ακαδημαϊκή επίδοση και τη νοημοσύνη μαθητών Δημοτικού και Γυμνασίου. Αναλυτικότερα, ως ειδικά ερευνητικά ερωτήματα-στόχοι τέθηκαν τα εξής:</w:t>
      </w:r>
    </w:p>
    <w:p w14:paraId="200535FB" w14:textId="77777777" w:rsidR="00EC35AC" w:rsidRPr="00145A99" w:rsidRDefault="00EC35AC" w:rsidP="007136D3">
      <w:pPr>
        <w:pStyle w:val="8"/>
        <w:rPr>
          <w:rStyle w:val="Chara"/>
        </w:rPr>
      </w:pPr>
      <w:r w:rsidRPr="00145A99">
        <w:rPr>
          <w:rStyle w:val="Chara"/>
        </w:rPr>
        <w:t>1. Ποια η σχέση ανάμεσα στο νοητικό δυναμικό και την ακαδημαϊκή επίδοση των μαθητών Δημοτικού και Γυμνασίου;</w:t>
      </w:r>
    </w:p>
    <w:p w14:paraId="02F49928" w14:textId="77777777" w:rsidR="00EC35AC" w:rsidRPr="00145A99" w:rsidRDefault="00EC35AC" w:rsidP="007136D3">
      <w:pPr>
        <w:pStyle w:val="8"/>
        <w:rPr>
          <w:rStyle w:val="Chara"/>
        </w:rPr>
      </w:pPr>
      <w:r w:rsidRPr="00145A99">
        <w:rPr>
          <w:rStyle w:val="Chara"/>
        </w:rPr>
        <w:t>2. Υπάρχουν διαφοροποιήσεις στο νοητικό δυναμικό και την ακαδημαϊκή επίδοση ανάλογα με το φύλο και την εθνικότητα των μαθητών;</w:t>
      </w:r>
    </w:p>
    <w:p w14:paraId="7CA44521" w14:textId="77777777" w:rsidR="00EC35AC" w:rsidRPr="00145A99" w:rsidRDefault="00EC35AC" w:rsidP="007136D3">
      <w:pPr>
        <w:pStyle w:val="8"/>
        <w:rPr>
          <w:rStyle w:val="Chara"/>
        </w:rPr>
      </w:pPr>
      <w:r w:rsidRPr="00145A99">
        <w:rPr>
          <w:rStyle w:val="Chara"/>
        </w:rPr>
        <w:t xml:space="preserve">3. Υπάρχουν μαθητές που παρουσιάζουν μη αναμενόμενη ακαδημαϊκή </w:t>
      </w:r>
      <w:proofErr w:type="spellStart"/>
      <w:r w:rsidRPr="00145A99">
        <w:rPr>
          <w:rStyle w:val="Chara"/>
        </w:rPr>
        <w:t>υποεπίδοση</w:t>
      </w:r>
      <w:proofErr w:type="spellEnd"/>
      <w:r w:rsidRPr="00145A99">
        <w:rPr>
          <w:rStyle w:val="Chara"/>
        </w:rPr>
        <w:t xml:space="preserve"> ή </w:t>
      </w:r>
      <w:proofErr w:type="spellStart"/>
      <w:r w:rsidRPr="00145A99">
        <w:rPr>
          <w:rStyle w:val="Chara"/>
        </w:rPr>
        <w:t>υπερεπίδοση</w:t>
      </w:r>
      <w:proofErr w:type="spellEnd"/>
      <w:r w:rsidRPr="00145A99">
        <w:rPr>
          <w:rStyle w:val="Chara"/>
        </w:rPr>
        <w:t xml:space="preserve"> με βάση το νοητικό τους δυναμικό;</w:t>
      </w:r>
    </w:p>
    <w:p w14:paraId="44FD0CA2" w14:textId="77777777" w:rsidR="00EC35AC" w:rsidRDefault="00EC35AC" w:rsidP="007136D3">
      <w:pPr>
        <w:pStyle w:val="8"/>
        <w:rPr>
          <w:rStyle w:val="Chara"/>
        </w:rPr>
      </w:pPr>
      <w:r w:rsidRPr="00145A99">
        <w:rPr>
          <w:rStyle w:val="Chara"/>
        </w:rPr>
        <w:t xml:space="preserve">4. Υπάρχουν διαφορές στο μέγεθος της </w:t>
      </w:r>
      <w:proofErr w:type="spellStart"/>
      <w:r w:rsidRPr="00145A99">
        <w:rPr>
          <w:rStyle w:val="Chara"/>
        </w:rPr>
        <w:t>υποεπίδοσης</w:t>
      </w:r>
      <w:proofErr w:type="spellEnd"/>
      <w:r w:rsidRPr="00145A99">
        <w:rPr>
          <w:rStyle w:val="Chara"/>
        </w:rPr>
        <w:t xml:space="preserve"> ή της </w:t>
      </w:r>
      <w:proofErr w:type="spellStart"/>
      <w:r w:rsidRPr="00145A99">
        <w:rPr>
          <w:rStyle w:val="Chara"/>
        </w:rPr>
        <w:t>υπερεπίδοσης</w:t>
      </w:r>
      <w:proofErr w:type="spellEnd"/>
      <w:r w:rsidRPr="00145A99">
        <w:rPr>
          <w:rStyle w:val="Chara"/>
        </w:rPr>
        <w:t xml:space="preserve"> των  μαθητών ανάλογα με το φύλο και την εθνικότητά τους;</w:t>
      </w:r>
    </w:p>
    <w:p w14:paraId="3ADA872E" w14:textId="77777777" w:rsidR="00EC35AC" w:rsidRPr="00145A99" w:rsidRDefault="00EC35AC" w:rsidP="007136D3">
      <w:pPr>
        <w:pStyle w:val="8"/>
        <w:rPr>
          <w:rStyle w:val="Chara"/>
        </w:rPr>
      </w:pPr>
      <w:r w:rsidRPr="00145A99">
        <w:rPr>
          <w:rStyle w:val="Chara"/>
        </w:rPr>
        <w:t>Για τη διερεύνηση των παραπάνω ερωτημάτων πραγματοποιήθηκε ποσοτική έρευνα η διαδικασία και τα αποτελέσματα της οποίας παρουσιάζονται ακολούθως.</w:t>
      </w:r>
    </w:p>
    <w:p w14:paraId="6C80D1DD" w14:textId="77777777" w:rsidR="00EC35AC" w:rsidRPr="00581DAA" w:rsidRDefault="00EC35AC" w:rsidP="00EC35AC">
      <w:pPr>
        <w:pStyle w:val="71"/>
        <w:rPr>
          <w:color w:val="4E67C8" w:themeColor="accent1"/>
        </w:rPr>
      </w:pPr>
      <w:r>
        <w:t>Μέθοδος</w:t>
      </w:r>
      <w:r w:rsidRPr="00581DAA">
        <w:t xml:space="preserve"> </w:t>
      </w:r>
    </w:p>
    <w:p w14:paraId="2500098B" w14:textId="77777777" w:rsidR="00EC35AC" w:rsidRPr="00591434" w:rsidRDefault="00EC35AC" w:rsidP="00591434">
      <w:pPr>
        <w:pStyle w:val="92"/>
      </w:pPr>
      <w:r w:rsidRPr="00591434">
        <w:rPr>
          <w:rStyle w:val="Charb"/>
          <w:i w:val="0"/>
          <w:szCs w:val="32"/>
        </w:rPr>
        <w:t>Συμμετέχοντες</w:t>
      </w:r>
      <w:r w:rsidRPr="00591434">
        <w:t xml:space="preserve"> </w:t>
      </w:r>
    </w:p>
    <w:p w14:paraId="0D7ACF86" w14:textId="77777777" w:rsidR="00EC35AC" w:rsidRPr="00CD3420" w:rsidRDefault="00EC35AC" w:rsidP="007136D3">
      <w:pPr>
        <w:pStyle w:val="8"/>
      </w:pPr>
      <w:r w:rsidRPr="00CD3420">
        <w:t>Για τις ανάγκες της παρούσης έρευνας πραγματοποιήθηκε ευκαιριακή δειγματοληψία σε μαθητές Δημοτικού και Γυμνασίου της ευρύτερης περιοχής των Αθηνών. Από τη διαδικασία προέκυψαν δύο ομάδες μαθητών. Η πρώτη ομάδα περιλαμβάνει 231 μαθητές της Ε’ και της Στ’ τάξης του Δημοτικού, ενώ η δεύτερη ομάδα συστάθηκε από 297 μαθητές της Α’ και της Β’ τάξης του Γυμνασίου.</w:t>
      </w:r>
    </w:p>
    <w:p w14:paraId="3B77F9BB" w14:textId="77777777" w:rsidR="00EC35AC" w:rsidRPr="00CD3420" w:rsidRDefault="00EC35AC" w:rsidP="00EC35AC">
      <w:pPr>
        <w:pStyle w:val="92"/>
        <w:rPr>
          <w:color w:val="3498DB"/>
        </w:rPr>
      </w:pPr>
      <w:r>
        <w:t>Εργαλεία</w:t>
      </w:r>
      <w:r w:rsidRPr="00CD3420">
        <w:t xml:space="preserve"> </w:t>
      </w:r>
    </w:p>
    <w:p w14:paraId="04B461AA" w14:textId="77777777" w:rsidR="00EC35AC" w:rsidRPr="00CD3420" w:rsidRDefault="00EC35AC" w:rsidP="007136D3">
      <w:pPr>
        <w:pStyle w:val="8"/>
      </w:pPr>
      <w:r>
        <w:rPr>
          <w:b/>
          <w:i/>
        </w:rPr>
        <w:t>Ακαδημαϊκή</w:t>
      </w:r>
      <w:r w:rsidRPr="00CD3420">
        <w:rPr>
          <w:b/>
          <w:i/>
        </w:rPr>
        <w:t xml:space="preserve"> </w:t>
      </w:r>
      <w:r>
        <w:rPr>
          <w:b/>
          <w:i/>
        </w:rPr>
        <w:t>επίδοση</w:t>
      </w:r>
      <w:r w:rsidRPr="00CD3420">
        <w:rPr>
          <w:b/>
          <w:i/>
        </w:rPr>
        <w:t xml:space="preserve"> </w:t>
      </w:r>
      <w:r w:rsidRPr="00CD3420">
        <w:rPr>
          <w:rStyle w:val="8Char"/>
        </w:rPr>
        <w:t>Για τη μέτρηση της ακαδημαϊκής επίδοσης χρησιμοποιήθηκαν οι μέσοι όροι των βασικών μαθημάτων από τις τελευταίες σχολικές βαθμολογίες, όπως προέκυψαν από τις ατομικές καρτέλες των μαθητών. Ως μαθήματα βαρύτητας θεωρήθηκαν η Γλώσσα και τα Μαθηματικά για το Δημοτικό και η Νεοελληνική Γλώσσα, τα Αρχαία Ελληνικά, τα Μαθηματικά και η Φυσική για το Γυμνάσιο.</w:t>
      </w:r>
    </w:p>
    <w:p w14:paraId="17136B5C" w14:textId="77777777" w:rsidR="00EC35AC" w:rsidRPr="00CD3420" w:rsidRDefault="00EC35AC" w:rsidP="002A64C0">
      <w:pPr>
        <w:spacing w:line="264" w:lineRule="auto"/>
        <w:ind w:firstLine="426"/>
        <w:jc w:val="both"/>
        <w:rPr>
          <w:rFonts w:eastAsia="Yu Gothic UI" w:cstheme="minorHAnsi"/>
          <w:lang w:val="el-GR"/>
        </w:rPr>
      </w:pPr>
    </w:p>
    <w:p w14:paraId="5F0A6F87" w14:textId="77777777" w:rsidR="00EC35AC" w:rsidRPr="00CD3420" w:rsidRDefault="00EC35AC" w:rsidP="007136D3">
      <w:pPr>
        <w:pStyle w:val="8"/>
      </w:pPr>
      <w:r>
        <w:rPr>
          <w:b/>
          <w:i/>
        </w:rPr>
        <w:lastRenderedPageBreak/>
        <w:t>Νοημοσύνη</w:t>
      </w:r>
      <w:r w:rsidRPr="00581DAA">
        <w:rPr>
          <w:b/>
          <w:i/>
        </w:rPr>
        <w:t xml:space="preserve"> </w:t>
      </w:r>
      <w:r w:rsidRPr="00CD3420">
        <w:t xml:space="preserve">Αναφορικά με τη μέτρηση του νοητικού δυναμικού του δείγματος, χορηγήθηκαν οι Προοδευτικές Μήτρες του </w:t>
      </w:r>
      <w:r w:rsidRPr="00145A99">
        <w:rPr>
          <w:lang w:val="en-US"/>
        </w:rPr>
        <w:t>Raven</w:t>
      </w:r>
      <w:r w:rsidRPr="00CD3420">
        <w:t xml:space="preserve"> (</w:t>
      </w:r>
      <w:r w:rsidRPr="00145A99">
        <w:rPr>
          <w:lang w:val="en-US"/>
        </w:rPr>
        <w:t>Raven</w:t>
      </w:r>
      <w:r w:rsidRPr="00CD3420">
        <w:t>’</w:t>
      </w:r>
      <w:r w:rsidRPr="00145A99">
        <w:rPr>
          <w:lang w:val="en-US"/>
        </w:rPr>
        <w:t>s</w:t>
      </w:r>
      <w:r>
        <w:t xml:space="preserve"> </w:t>
      </w:r>
      <w:r w:rsidRPr="00145A99">
        <w:rPr>
          <w:lang w:val="en-US"/>
        </w:rPr>
        <w:t>Progressive</w:t>
      </w:r>
      <w:r>
        <w:t xml:space="preserve"> </w:t>
      </w:r>
      <w:r w:rsidRPr="00145A99">
        <w:rPr>
          <w:lang w:val="en-US"/>
        </w:rPr>
        <w:t>Matrices</w:t>
      </w:r>
      <w:r w:rsidRPr="00CD3420">
        <w:t xml:space="preserve">), κατάλληλες για ηλικίες από 6 έως 65 ετών. Πρόκειται για ένα δημοφιλές τεστ μέτρησης της γενικής νοητικής ικανότητας, που κατασκευάστηκε τον </w:t>
      </w:r>
      <w:proofErr w:type="spellStart"/>
      <w:r w:rsidRPr="00145A99">
        <w:t>John</w:t>
      </w:r>
      <w:proofErr w:type="spellEnd"/>
      <w:r w:rsidRPr="00CD3420">
        <w:t xml:space="preserve"> </w:t>
      </w:r>
      <w:proofErr w:type="spellStart"/>
      <w:r w:rsidRPr="00145A99">
        <w:t>Carlyle</w:t>
      </w:r>
      <w:proofErr w:type="spellEnd"/>
      <w:r w:rsidRPr="00CD3420">
        <w:t xml:space="preserve"> </w:t>
      </w:r>
      <w:proofErr w:type="spellStart"/>
      <w:r w:rsidRPr="00145A99">
        <w:t>Raven</w:t>
      </w:r>
      <w:proofErr w:type="spellEnd"/>
      <w:r w:rsidRPr="00CD3420">
        <w:t xml:space="preserve"> </w:t>
      </w:r>
      <w:proofErr w:type="spellStart"/>
      <w:r w:rsidRPr="00145A99">
        <w:t>to</w:t>
      </w:r>
      <w:proofErr w:type="spellEnd"/>
      <w:r w:rsidRPr="00CD3420">
        <w:t xml:space="preserve"> 1938 κι έχει χρησιμοποιηθεί ευρέως στην ψυχοπαιδαγωγική έρευνα. Το τεστ περιλαμβάνει 60 δοκιμασίες επίλυσης προβλημάτων που δίνονται με τη μορφή γεωμετρικών σχημάτων. Καθώς οι δοκιμασίες αυτές είναι μη λεκτικές, το εργαλείο θεωρείται απαλλαγμένο από πολιτισμικές επιδράσεις</w:t>
      </w:r>
      <w:r w:rsidRPr="00145A99">
        <w:rPr>
          <w:lang w:val="nl-NL"/>
        </w:rPr>
      </w:r>
      <w:r w:rsidRPr="00CD3420">
        <w:instrText xml:space="preserve"/>
      </w:r>
      <w:r w:rsidRPr="00145A99">
        <w:instrText/>
      </w:r>
      <w:r w:rsidRPr="00CD3420">
        <w:instrText xml:space="preserve"/>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xml:space="preserve"/>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xml:space="preserve"/>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instrText/>
      </w:r>
      <w:r w:rsidRPr="00CD3420">
        <w:instrText/>
      </w:r>
      <w:r w:rsidRPr="00145A99">
        <w:rPr>
          <w:lang w:val="nl-NL"/>
        </w:rPr>
      </w:r>
      <w:r w:rsidRPr="00CD3420">
        <w:t>(</w:t>
      </w:r>
      <w:r w:rsidRPr="00145A99">
        <w:t>Raven</w:t>
      </w:r>
      <w:r w:rsidRPr="00CD3420">
        <w:t>, 2003)</w:t>
      </w:r>
      <w:r w:rsidRPr="00145A99"/>
      <w:r w:rsidRPr="00CD3420">
        <w:t>.</w:t>
      </w:r>
    </w:p>
    <w:p w14:paraId="2E657658" w14:textId="77777777" w:rsidR="00EC35AC" w:rsidRDefault="00EC35AC" w:rsidP="00EC35AC">
      <w:pPr>
        <w:pStyle w:val="92"/>
      </w:pPr>
      <w:r>
        <w:t>Διαδικασία της έρευνας</w:t>
      </w:r>
    </w:p>
    <w:p w14:paraId="0579E1D1" w14:textId="77777777" w:rsidR="00EC35AC" w:rsidRPr="009422F2" w:rsidRDefault="00EC35AC" w:rsidP="007136D3">
      <w:pPr>
        <w:pStyle w:val="8"/>
      </w:pPr>
      <w:r w:rsidRPr="00145A99">
        <w:t xml:space="preserve">Αρχικά, πριν την έναρξη της διαδικασίας συλλογής δεδομένων, πραγματοποιήθηκαν οι απαραίτητες ενέργειες προκειμένου να εξασφαλιστεί η απαιτούμενη άδεια διεξαγωγής εκπαιδευτικής έρευνας σε πληθυσμό ανηλίκων. Καθώς η εξασφάλιση ενυπόγραφης </w:t>
      </w:r>
      <w:proofErr w:type="spellStart"/>
      <w:r w:rsidRPr="00145A99">
        <w:t>γονεϊκής</w:t>
      </w:r>
      <w:proofErr w:type="spellEnd"/>
      <w:r w:rsidRPr="00145A99">
        <w:t xml:space="preserve"> συγκατάθεσης υπήρξε απαραίτητη προϋπόθεση για τη συμμετοχή κάθε ανηλίκου στην έρευνα, πραγματοποιήθηκε </w:t>
      </w:r>
      <w:proofErr w:type="spellStart"/>
      <w:r w:rsidRPr="00145A99">
        <w:t>έγγραφως</w:t>
      </w:r>
      <w:proofErr w:type="spellEnd"/>
      <w:r w:rsidRPr="00145A99">
        <w:t xml:space="preserve"> αναλυτική ενημέρωση των γονέων αναφορικά με το θέμα, το σκοπό και τις διαδικασίες της έρευνας. Επιπλέον, οι ίδιοι οι μαθητές ενημερώθηκαν για τον προαιρετικό και μη δεσμευτικό χαρακτήρα της συμμετοχής τους, αλλά και για τη δυνατότητά τους να αποχωρήσουν από την έρευνα ακόμη και κατά τη διάρκειά της διεξαγωγής της.  Τέλος κατά τη συλλογή των δεδομένων διασφαλίστηκε η ανωνυμία των υποκειμένων. </w:t>
      </w:r>
    </w:p>
    <w:p w14:paraId="2FD8CC38" w14:textId="77777777" w:rsidR="00EC35AC" w:rsidRDefault="00EC35AC" w:rsidP="00EC35AC">
      <w:pPr>
        <w:pStyle w:val="71"/>
        <w:rPr>
          <w:lang w:eastAsia="en-US"/>
        </w:rPr>
      </w:pPr>
      <w:r>
        <w:rPr>
          <w:lang w:eastAsia="en-US"/>
        </w:rPr>
        <w:t>Αποτελέσματα</w:t>
      </w:r>
    </w:p>
    <w:p w14:paraId="2B1F4A26" w14:textId="77777777" w:rsidR="00EC35AC" w:rsidRPr="00145A99" w:rsidRDefault="00EC35AC" w:rsidP="00EC35AC">
      <w:pPr>
        <w:pStyle w:val="92"/>
      </w:pPr>
      <w:r>
        <w:t>Δημογραφικά χαρακτηριστικά</w:t>
      </w:r>
    </w:p>
    <w:p w14:paraId="6A6C6A6B" w14:textId="77777777" w:rsidR="00EC35AC" w:rsidRDefault="00EC35AC" w:rsidP="007136D3">
      <w:pPr>
        <w:pStyle w:val="8"/>
      </w:pPr>
      <w:r w:rsidRPr="00CD3420">
        <w:t xml:space="preserve">Όπως προαναφέρθηκε, για τις ανάγκες της έρευνας χρησιμοποιήθηκαν δύο ανεξάρτητα δείγματα μαθητών. Το πρώτο δείγμα αποτελείτο από μαθητές των δύο τελευταίων τάξεων του Δημοτικού με μέση ηλικία τα 10,9 έτη, ενώ το δεύτερο </w:t>
      </w:r>
      <w:proofErr w:type="spellStart"/>
      <w:r w:rsidRPr="00CD3420">
        <w:t>περιελάμβανε</w:t>
      </w:r>
      <w:proofErr w:type="spellEnd"/>
      <w:r w:rsidRPr="00CD3420">
        <w:t xml:space="preserve"> μαθητές των δύο πρώτων τάξεων του Γυμνασίου με μέση ηλικία τα 13,2 έτη. Αναλυτικότερα δεδομένα αναφορικά με την κατανομή των δύο δειγμάτων κατά τάξη παρατίθενται στον Πίνακα 1.</w:t>
      </w:r>
    </w:p>
    <w:p w14:paraId="5C3B8A2C" w14:textId="77777777" w:rsidR="00735415" w:rsidRPr="009422F2" w:rsidRDefault="00735415" w:rsidP="007136D3">
      <w:pPr>
        <w:pStyle w:val="8"/>
        <w:rPr>
          <w:rStyle w:val="Chare"/>
          <w:rFonts w:eastAsia="Yu Gothic UI" w:cstheme="minorHAnsi"/>
        </w:rPr>
      </w:pPr>
    </w:p>
    <w:tbl>
      <w:tblPr>
        <w:tblpPr w:leftFromText="180" w:rightFromText="180"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60"/>
        <w:gridCol w:w="2102"/>
        <w:gridCol w:w="1078"/>
        <w:gridCol w:w="1781"/>
      </w:tblGrid>
      <w:tr w:rsidR="00EC35AC" w:rsidRPr="00CD3420" w14:paraId="0513089E" w14:textId="77777777" w:rsidTr="00EC35AC">
        <w:trPr>
          <w:trHeight w:val="271"/>
        </w:trPr>
        <w:tc>
          <w:tcPr>
            <w:tcW w:w="7797" w:type="dxa"/>
            <w:gridSpan w:val="5"/>
            <w:tcBorders>
              <w:top w:val="nil"/>
              <w:left w:val="nil"/>
              <w:bottom w:val="nil"/>
              <w:right w:val="nil"/>
            </w:tcBorders>
            <w:vAlign w:val="center"/>
          </w:tcPr>
          <w:p w14:paraId="7330AB20" w14:textId="77777777" w:rsidR="00EC35AC" w:rsidRPr="00CD3420" w:rsidRDefault="00EC35AC" w:rsidP="00EC35AC">
            <w:pPr>
              <w:rPr>
                <w:rFonts w:eastAsia="Calibri"/>
                <w:b/>
                <w:szCs w:val="24"/>
                <w:lang w:val="el-GR"/>
              </w:rPr>
            </w:pPr>
            <w:r w:rsidRPr="00CD3420">
              <w:rPr>
                <w:rStyle w:val="Chard"/>
                <w:b w:val="0"/>
                <w:bCs/>
                <w:szCs w:val="24"/>
              </w:rPr>
              <w:t>Πίνακας 1</w:t>
            </w:r>
            <w:r w:rsidRPr="00CD3420">
              <w:rPr>
                <w:rFonts w:eastAsia="Calibri"/>
                <w:b/>
                <w:szCs w:val="24"/>
                <w:lang w:val="el-GR"/>
              </w:rPr>
              <w:t xml:space="preserve">. </w:t>
            </w:r>
          </w:p>
          <w:p w14:paraId="2D21CF1B" w14:textId="77777777" w:rsidR="00EC35AC" w:rsidRPr="00CD3420" w:rsidRDefault="00EC35AC" w:rsidP="00EC35AC">
            <w:pPr>
              <w:rPr>
                <w:rFonts w:eastAsia="Calibri"/>
                <w:szCs w:val="24"/>
                <w:lang w:val="el-GR"/>
              </w:rPr>
            </w:pPr>
            <w:r w:rsidRPr="00CD3420">
              <w:rPr>
                <w:rStyle w:val="Chare"/>
                <w:szCs w:val="24"/>
              </w:rPr>
              <w:t>Κατανομή των μαθητών Δημοτικού και Γυμνασίου κατά σχολική τάξη</w:t>
            </w:r>
          </w:p>
        </w:tc>
      </w:tr>
      <w:tr w:rsidR="00EC35AC" w:rsidRPr="00CD3420" w14:paraId="777BC0B4" w14:textId="77777777" w:rsidTr="00EC35AC">
        <w:trPr>
          <w:gridBefore w:val="1"/>
          <w:wBefore w:w="1276" w:type="dxa"/>
          <w:trHeight w:val="271"/>
        </w:trPr>
        <w:tc>
          <w:tcPr>
            <w:tcW w:w="1560" w:type="dxa"/>
            <w:tcBorders>
              <w:top w:val="single" w:sz="8" w:space="0" w:color="auto"/>
              <w:left w:val="nil"/>
              <w:bottom w:val="nil"/>
              <w:right w:val="nil"/>
            </w:tcBorders>
            <w:vAlign w:val="center"/>
          </w:tcPr>
          <w:p w14:paraId="463E45A7" w14:textId="77777777" w:rsidR="00EC35AC" w:rsidRPr="00CD3420" w:rsidRDefault="00EC35AC" w:rsidP="00EC35AC">
            <w:pPr>
              <w:rPr>
                <w:rFonts w:eastAsia="Calibri"/>
                <w:szCs w:val="24"/>
                <w:lang w:val="el-GR"/>
              </w:rPr>
            </w:pPr>
          </w:p>
        </w:tc>
        <w:tc>
          <w:tcPr>
            <w:tcW w:w="2102" w:type="dxa"/>
            <w:tcBorders>
              <w:top w:val="single" w:sz="8" w:space="0" w:color="auto"/>
              <w:left w:val="nil"/>
              <w:bottom w:val="single" w:sz="4" w:space="0" w:color="auto"/>
              <w:right w:val="nil"/>
            </w:tcBorders>
            <w:vAlign w:val="center"/>
          </w:tcPr>
          <w:p w14:paraId="5E02F09B" w14:textId="77777777" w:rsidR="00EC35AC" w:rsidRPr="00CD3420" w:rsidRDefault="00EC35AC" w:rsidP="00EC35AC">
            <w:pPr>
              <w:rPr>
                <w:rFonts w:eastAsia="Calibri"/>
                <w:szCs w:val="24"/>
                <w:lang w:val="el-GR"/>
              </w:rPr>
            </w:pPr>
          </w:p>
        </w:tc>
        <w:tc>
          <w:tcPr>
            <w:tcW w:w="1078" w:type="dxa"/>
            <w:tcBorders>
              <w:top w:val="single" w:sz="8" w:space="0" w:color="auto"/>
              <w:left w:val="nil"/>
              <w:right w:val="nil"/>
            </w:tcBorders>
          </w:tcPr>
          <w:p w14:paraId="31D55B74" w14:textId="77777777" w:rsidR="00EC35AC" w:rsidRPr="00CD3420" w:rsidRDefault="00EC35AC" w:rsidP="00EC35AC">
            <w:pPr>
              <w:rPr>
                <w:rFonts w:eastAsia="Calibri"/>
                <w:i/>
                <w:szCs w:val="24"/>
              </w:rPr>
            </w:pPr>
            <w:r w:rsidRPr="00CD3420">
              <w:rPr>
                <w:rFonts w:eastAsia="Calibri"/>
                <w:i/>
                <w:szCs w:val="24"/>
              </w:rPr>
              <w:t>Ν</w:t>
            </w:r>
          </w:p>
        </w:tc>
        <w:tc>
          <w:tcPr>
            <w:tcW w:w="1781" w:type="dxa"/>
            <w:tcBorders>
              <w:top w:val="single" w:sz="8" w:space="0" w:color="auto"/>
              <w:left w:val="nil"/>
              <w:right w:val="nil"/>
            </w:tcBorders>
          </w:tcPr>
          <w:p w14:paraId="61222F41" w14:textId="77777777" w:rsidR="00EC35AC" w:rsidRPr="00CD3420" w:rsidRDefault="00EC35AC" w:rsidP="00EC35AC">
            <w:pPr>
              <w:rPr>
                <w:rFonts w:eastAsia="Calibri"/>
                <w:szCs w:val="24"/>
              </w:rPr>
            </w:pPr>
            <w:r w:rsidRPr="00CD3420">
              <w:rPr>
                <w:rFonts w:eastAsia="Calibri"/>
                <w:szCs w:val="24"/>
              </w:rPr>
              <w:t>Ποσοστό %</w:t>
            </w:r>
          </w:p>
        </w:tc>
      </w:tr>
      <w:tr w:rsidR="00EC35AC" w:rsidRPr="00CD3420" w14:paraId="74FA58FB" w14:textId="77777777" w:rsidTr="00EC35AC">
        <w:trPr>
          <w:gridBefore w:val="1"/>
          <w:wBefore w:w="1276" w:type="dxa"/>
          <w:trHeight w:val="530"/>
        </w:trPr>
        <w:tc>
          <w:tcPr>
            <w:tcW w:w="1560" w:type="dxa"/>
            <w:vMerge w:val="restart"/>
            <w:tcBorders>
              <w:top w:val="nil"/>
              <w:left w:val="nil"/>
              <w:bottom w:val="single" w:sz="8" w:space="0" w:color="auto"/>
              <w:right w:val="nil"/>
            </w:tcBorders>
            <w:vAlign w:val="center"/>
          </w:tcPr>
          <w:p w14:paraId="619CAF67" w14:textId="77777777" w:rsidR="00EC35AC" w:rsidRPr="00CD3420" w:rsidRDefault="00EC35AC" w:rsidP="00EC35AC">
            <w:pPr>
              <w:rPr>
                <w:rFonts w:eastAsia="Calibri"/>
                <w:b/>
                <w:szCs w:val="24"/>
              </w:rPr>
            </w:pPr>
            <w:r w:rsidRPr="00CD3420">
              <w:rPr>
                <w:rFonts w:eastAsia="Calibri"/>
                <w:b/>
                <w:szCs w:val="24"/>
              </w:rPr>
              <w:t>Δημοτικό</w:t>
            </w:r>
          </w:p>
          <w:p w14:paraId="5301DF8E" w14:textId="77777777" w:rsidR="00EC35AC" w:rsidRPr="00CD3420" w:rsidRDefault="00EC35AC" w:rsidP="00EC35AC">
            <w:pPr>
              <w:rPr>
                <w:rFonts w:eastAsia="Calibri"/>
                <w:szCs w:val="24"/>
              </w:rPr>
            </w:pPr>
          </w:p>
          <w:p w14:paraId="09EA1BF6" w14:textId="77777777" w:rsidR="00EC35AC" w:rsidRPr="00CD3420" w:rsidRDefault="00EC35AC" w:rsidP="00EC35AC">
            <w:pPr>
              <w:rPr>
                <w:rFonts w:eastAsia="Calibri"/>
                <w:szCs w:val="24"/>
              </w:rPr>
            </w:pPr>
          </w:p>
        </w:tc>
        <w:tc>
          <w:tcPr>
            <w:tcW w:w="2102" w:type="dxa"/>
            <w:tcBorders>
              <w:top w:val="single" w:sz="4" w:space="0" w:color="auto"/>
              <w:left w:val="nil"/>
              <w:right w:val="nil"/>
            </w:tcBorders>
            <w:vAlign w:val="center"/>
          </w:tcPr>
          <w:p w14:paraId="753F69E1" w14:textId="77777777" w:rsidR="00EC35AC" w:rsidRPr="00CD3420" w:rsidRDefault="00EC35AC" w:rsidP="00EC35AC">
            <w:pPr>
              <w:rPr>
                <w:rFonts w:eastAsia="Calibri"/>
                <w:szCs w:val="24"/>
              </w:rPr>
            </w:pPr>
            <w:r w:rsidRPr="00CD3420">
              <w:rPr>
                <w:rFonts w:eastAsia="Calibri"/>
                <w:szCs w:val="24"/>
              </w:rPr>
              <w:t>Ε’ Δημοτικού</w:t>
            </w:r>
          </w:p>
          <w:p w14:paraId="1CCDE1D0" w14:textId="77777777" w:rsidR="00EC35AC" w:rsidRPr="00CD3420" w:rsidRDefault="00EC35AC" w:rsidP="00EC35AC">
            <w:pPr>
              <w:rPr>
                <w:rFonts w:eastAsia="Calibri"/>
                <w:szCs w:val="24"/>
              </w:rPr>
            </w:pPr>
            <w:r w:rsidRPr="00CD3420">
              <w:rPr>
                <w:rFonts w:eastAsia="Calibri"/>
                <w:szCs w:val="24"/>
              </w:rPr>
              <w:t>Στ’ Δημοτικού</w:t>
            </w:r>
          </w:p>
        </w:tc>
        <w:tc>
          <w:tcPr>
            <w:tcW w:w="1078" w:type="dxa"/>
            <w:tcBorders>
              <w:top w:val="single" w:sz="8" w:space="0" w:color="auto"/>
              <w:left w:val="nil"/>
              <w:right w:val="nil"/>
            </w:tcBorders>
          </w:tcPr>
          <w:p w14:paraId="215CB2D2" w14:textId="77777777" w:rsidR="00EC35AC" w:rsidRPr="00CD3420" w:rsidRDefault="00EC35AC" w:rsidP="00EC35AC">
            <w:pPr>
              <w:rPr>
                <w:rFonts w:eastAsia="Calibri"/>
                <w:szCs w:val="24"/>
              </w:rPr>
            </w:pPr>
            <w:r w:rsidRPr="00CD3420">
              <w:rPr>
                <w:rFonts w:eastAsia="Calibri"/>
                <w:szCs w:val="24"/>
              </w:rPr>
              <w:t>86</w:t>
            </w:r>
          </w:p>
          <w:p w14:paraId="7C44D5FC" w14:textId="77777777" w:rsidR="00EC35AC" w:rsidRPr="00CD3420" w:rsidRDefault="00EC35AC" w:rsidP="00EC35AC">
            <w:pPr>
              <w:rPr>
                <w:rFonts w:eastAsia="Calibri"/>
                <w:szCs w:val="24"/>
              </w:rPr>
            </w:pPr>
            <w:r w:rsidRPr="00CD3420">
              <w:rPr>
                <w:rFonts w:eastAsia="Calibri"/>
                <w:szCs w:val="24"/>
              </w:rPr>
              <w:t>145</w:t>
            </w:r>
          </w:p>
        </w:tc>
        <w:tc>
          <w:tcPr>
            <w:tcW w:w="1781" w:type="dxa"/>
            <w:tcBorders>
              <w:top w:val="single" w:sz="8" w:space="0" w:color="auto"/>
              <w:left w:val="nil"/>
              <w:right w:val="nil"/>
            </w:tcBorders>
          </w:tcPr>
          <w:p w14:paraId="77D2317C" w14:textId="77777777" w:rsidR="00EC35AC" w:rsidRPr="00CD3420" w:rsidRDefault="00EC35AC" w:rsidP="00EC35AC">
            <w:pPr>
              <w:rPr>
                <w:rFonts w:eastAsia="Calibri"/>
                <w:szCs w:val="24"/>
              </w:rPr>
            </w:pPr>
            <w:r w:rsidRPr="00CD3420">
              <w:rPr>
                <w:rFonts w:eastAsia="Calibri"/>
                <w:szCs w:val="24"/>
              </w:rPr>
              <w:t>37,2</w:t>
            </w:r>
          </w:p>
          <w:p w14:paraId="55C15583" w14:textId="77777777" w:rsidR="00EC35AC" w:rsidRPr="00CD3420" w:rsidRDefault="00EC35AC" w:rsidP="00EC35AC">
            <w:pPr>
              <w:rPr>
                <w:rFonts w:eastAsia="Calibri"/>
                <w:szCs w:val="24"/>
              </w:rPr>
            </w:pPr>
            <w:r w:rsidRPr="00CD3420">
              <w:rPr>
                <w:rFonts w:eastAsia="Calibri"/>
                <w:szCs w:val="24"/>
              </w:rPr>
              <w:t>62,8</w:t>
            </w:r>
          </w:p>
        </w:tc>
      </w:tr>
      <w:tr w:rsidR="00EC35AC" w:rsidRPr="00CD3420" w14:paraId="43684938" w14:textId="77777777" w:rsidTr="00EC35AC">
        <w:trPr>
          <w:gridBefore w:val="1"/>
          <w:wBefore w:w="1276" w:type="dxa"/>
          <w:trHeight w:val="271"/>
        </w:trPr>
        <w:tc>
          <w:tcPr>
            <w:tcW w:w="1560" w:type="dxa"/>
            <w:vMerge/>
            <w:tcBorders>
              <w:top w:val="single" w:sz="8" w:space="0" w:color="auto"/>
              <w:left w:val="nil"/>
              <w:bottom w:val="single" w:sz="8" w:space="0" w:color="auto"/>
              <w:right w:val="nil"/>
            </w:tcBorders>
            <w:vAlign w:val="center"/>
          </w:tcPr>
          <w:p w14:paraId="43347F95" w14:textId="77777777" w:rsidR="00EC35AC" w:rsidRPr="00CD3420" w:rsidRDefault="00EC35AC" w:rsidP="00EC35AC">
            <w:pPr>
              <w:rPr>
                <w:rFonts w:eastAsia="Calibri"/>
                <w:szCs w:val="24"/>
              </w:rPr>
            </w:pPr>
          </w:p>
        </w:tc>
        <w:tc>
          <w:tcPr>
            <w:tcW w:w="2102" w:type="dxa"/>
            <w:tcBorders>
              <w:left w:val="nil"/>
              <w:bottom w:val="single" w:sz="8" w:space="0" w:color="auto"/>
              <w:right w:val="nil"/>
            </w:tcBorders>
            <w:vAlign w:val="center"/>
          </w:tcPr>
          <w:p w14:paraId="500F4E45" w14:textId="77777777" w:rsidR="00EC35AC" w:rsidRPr="00CD3420" w:rsidRDefault="00EC35AC" w:rsidP="00EC35AC">
            <w:pPr>
              <w:rPr>
                <w:rFonts w:eastAsia="Calibri"/>
                <w:szCs w:val="24"/>
              </w:rPr>
            </w:pPr>
            <w:r w:rsidRPr="00CD3420">
              <w:rPr>
                <w:rFonts w:eastAsia="Calibri"/>
                <w:szCs w:val="24"/>
              </w:rPr>
              <w:t xml:space="preserve"> Σύνολο</w:t>
            </w:r>
          </w:p>
        </w:tc>
        <w:tc>
          <w:tcPr>
            <w:tcW w:w="1078" w:type="dxa"/>
            <w:tcBorders>
              <w:left w:val="nil"/>
              <w:bottom w:val="single" w:sz="8" w:space="0" w:color="auto"/>
              <w:right w:val="nil"/>
            </w:tcBorders>
          </w:tcPr>
          <w:p w14:paraId="763A906B" w14:textId="77777777" w:rsidR="00EC35AC" w:rsidRPr="00CD3420" w:rsidRDefault="00EC35AC" w:rsidP="00EC35AC">
            <w:pPr>
              <w:rPr>
                <w:rFonts w:eastAsia="Calibri"/>
                <w:szCs w:val="24"/>
              </w:rPr>
            </w:pPr>
            <w:r w:rsidRPr="00CD3420">
              <w:rPr>
                <w:rFonts w:eastAsia="Calibri"/>
                <w:szCs w:val="24"/>
              </w:rPr>
              <w:t>231</w:t>
            </w:r>
          </w:p>
        </w:tc>
        <w:tc>
          <w:tcPr>
            <w:tcW w:w="1781" w:type="dxa"/>
            <w:tcBorders>
              <w:left w:val="nil"/>
              <w:bottom w:val="single" w:sz="8" w:space="0" w:color="auto"/>
              <w:right w:val="nil"/>
            </w:tcBorders>
          </w:tcPr>
          <w:p w14:paraId="3FC35387" w14:textId="77777777" w:rsidR="00EC35AC" w:rsidRPr="00CD3420" w:rsidRDefault="00EC35AC" w:rsidP="00EC35AC">
            <w:pPr>
              <w:rPr>
                <w:rFonts w:eastAsia="Calibri"/>
                <w:szCs w:val="24"/>
              </w:rPr>
            </w:pPr>
            <w:r w:rsidRPr="00CD3420">
              <w:rPr>
                <w:rFonts w:eastAsia="Calibri"/>
                <w:szCs w:val="24"/>
              </w:rPr>
              <w:t>100</w:t>
            </w:r>
          </w:p>
        </w:tc>
      </w:tr>
      <w:tr w:rsidR="00EC35AC" w:rsidRPr="00CD3420" w14:paraId="49687477" w14:textId="77777777" w:rsidTr="00EC35AC">
        <w:trPr>
          <w:gridBefore w:val="1"/>
          <w:wBefore w:w="1276" w:type="dxa"/>
          <w:trHeight w:val="548"/>
        </w:trPr>
        <w:tc>
          <w:tcPr>
            <w:tcW w:w="1560" w:type="dxa"/>
            <w:vMerge w:val="restart"/>
            <w:tcBorders>
              <w:top w:val="single" w:sz="8" w:space="0" w:color="auto"/>
              <w:left w:val="nil"/>
              <w:right w:val="nil"/>
            </w:tcBorders>
          </w:tcPr>
          <w:p w14:paraId="12CDC7C2" w14:textId="77777777" w:rsidR="00EC35AC" w:rsidRPr="00CD3420" w:rsidRDefault="00EC35AC" w:rsidP="00EC35AC">
            <w:pPr>
              <w:rPr>
                <w:rFonts w:eastAsia="Calibri"/>
                <w:b/>
                <w:szCs w:val="24"/>
              </w:rPr>
            </w:pPr>
            <w:r w:rsidRPr="00CD3420">
              <w:rPr>
                <w:rFonts w:eastAsia="Calibri"/>
                <w:b/>
                <w:szCs w:val="24"/>
              </w:rPr>
              <w:t>Γυμνάσιο</w:t>
            </w:r>
          </w:p>
          <w:p w14:paraId="7B750BDB" w14:textId="77777777" w:rsidR="00EC35AC" w:rsidRPr="00CD3420" w:rsidRDefault="00EC35AC" w:rsidP="00EC35AC">
            <w:pPr>
              <w:rPr>
                <w:rFonts w:eastAsia="Calibri"/>
                <w:szCs w:val="24"/>
              </w:rPr>
            </w:pPr>
          </w:p>
        </w:tc>
        <w:tc>
          <w:tcPr>
            <w:tcW w:w="2102" w:type="dxa"/>
            <w:tcBorders>
              <w:top w:val="single" w:sz="8" w:space="0" w:color="auto"/>
              <w:left w:val="nil"/>
              <w:right w:val="nil"/>
            </w:tcBorders>
          </w:tcPr>
          <w:p w14:paraId="5454BB1B" w14:textId="77777777" w:rsidR="00EC35AC" w:rsidRPr="00CD3420" w:rsidRDefault="00EC35AC" w:rsidP="00EC35AC">
            <w:pPr>
              <w:rPr>
                <w:rFonts w:eastAsia="Calibri"/>
                <w:szCs w:val="24"/>
              </w:rPr>
            </w:pPr>
            <w:r w:rsidRPr="00CD3420">
              <w:rPr>
                <w:rFonts w:eastAsia="Calibri"/>
                <w:szCs w:val="24"/>
              </w:rPr>
              <w:t>Α’ Γυμνασίου</w:t>
            </w:r>
          </w:p>
          <w:p w14:paraId="519AE009" w14:textId="77777777" w:rsidR="00EC35AC" w:rsidRPr="00CD3420" w:rsidRDefault="00EC35AC" w:rsidP="00EC35AC">
            <w:pPr>
              <w:rPr>
                <w:rFonts w:eastAsia="Calibri"/>
                <w:szCs w:val="24"/>
              </w:rPr>
            </w:pPr>
            <w:r w:rsidRPr="00CD3420">
              <w:rPr>
                <w:rFonts w:eastAsia="Calibri"/>
                <w:szCs w:val="24"/>
              </w:rPr>
              <w:t>Β’ Γυμνασίου</w:t>
            </w:r>
          </w:p>
        </w:tc>
        <w:tc>
          <w:tcPr>
            <w:tcW w:w="1078" w:type="dxa"/>
            <w:tcBorders>
              <w:top w:val="single" w:sz="8" w:space="0" w:color="auto"/>
              <w:left w:val="nil"/>
              <w:right w:val="nil"/>
            </w:tcBorders>
          </w:tcPr>
          <w:p w14:paraId="3D91A252" w14:textId="77777777" w:rsidR="00EC35AC" w:rsidRPr="00CD3420" w:rsidRDefault="00EC35AC" w:rsidP="00EC35AC">
            <w:pPr>
              <w:rPr>
                <w:rFonts w:eastAsia="Calibri"/>
                <w:szCs w:val="24"/>
              </w:rPr>
            </w:pPr>
            <w:r w:rsidRPr="00CD3420">
              <w:rPr>
                <w:rFonts w:eastAsia="Calibri"/>
                <w:szCs w:val="24"/>
              </w:rPr>
              <w:t>141</w:t>
            </w:r>
          </w:p>
          <w:p w14:paraId="170CF098" w14:textId="77777777" w:rsidR="00EC35AC" w:rsidRPr="00CD3420" w:rsidRDefault="00EC35AC" w:rsidP="00EC35AC">
            <w:pPr>
              <w:rPr>
                <w:rFonts w:eastAsia="Calibri"/>
                <w:szCs w:val="24"/>
              </w:rPr>
            </w:pPr>
            <w:r w:rsidRPr="00CD3420">
              <w:rPr>
                <w:rFonts w:eastAsia="Calibri"/>
                <w:szCs w:val="24"/>
              </w:rPr>
              <w:t>156</w:t>
            </w:r>
          </w:p>
        </w:tc>
        <w:tc>
          <w:tcPr>
            <w:tcW w:w="1781" w:type="dxa"/>
            <w:tcBorders>
              <w:top w:val="single" w:sz="8" w:space="0" w:color="auto"/>
              <w:left w:val="nil"/>
              <w:right w:val="nil"/>
            </w:tcBorders>
          </w:tcPr>
          <w:p w14:paraId="6676B1A9" w14:textId="77777777" w:rsidR="00EC35AC" w:rsidRPr="00CD3420" w:rsidRDefault="00EC35AC" w:rsidP="00EC35AC">
            <w:pPr>
              <w:rPr>
                <w:rFonts w:eastAsia="Calibri"/>
                <w:szCs w:val="24"/>
              </w:rPr>
            </w:pPr>
            <w:r w:rsidRPr="00CD3420">
              <w:rPr>
                <w:rFonts w:eastAsia="Calibri"/>
                <w:szCs w:val="24"/>
              </w:rPr>
              <w:t>47,5</w:t>
            </w:r>
          </w:p>
          <w:p w14:paraId="728A944E" w14:textId="77777777" w:rsidR="00EC35AC" w:rsidRPr="00CD3420" w:rsidRDefault="00EC35AC" w:rsidP="00EC35AC">
            <w:pPr>
              <w:rPr>
                <w:rFonts w:eastAsia="Calibri"/>
                <w:szCs w:val="24"/>
              </w:rPr>
            </w:pPr>
            <w:r w:rsidRPr="00CD3420">
              <w:rPr>
                <w:rFonts w:eastAsia="Calibri"/>
                <w:szCs w:val="24"/>
              </w:rPr>
              <w:t>52,5</w:t>
            </w:r>
          </w:p>
        </w:tc>
      </w:tr>
      <w:tr w:rsidR="00EC35AC" w:rsidRPr="00CD3420" w14:paraId="0D4C9C99" w14:textId="77777777" w:rsidTr="00EC35AC">
        <w:trPr>
          <w:gridBefore w:val="1"/>
          <w:wBefore w:w="1276" w:type="dxa"/>
          <w:trHeight w:val="268"/>
        </w:trPr>
        <w:tc>
          <w:tcPr>
            <w:tcW w:w="1560" w:type="dxa"/>
            <w:vMerge/>
            <w:tcBorders>
              <w:left w:val="nil"/>
              <w:bottom w:val="single" w:sz="8" w:space="0" w:color="auto"/>
              <w:right w:val="nil"/>
            </w:tcBorders>
          </w:tcPr>
          <w:p w14:paraId="4748C415" w14:textId="77777777" w:rsidR="00EC35AC" w:rsidRPr="00CD3420" w:rsidRDefault="00EC35AC" w:rsidP="00EC35AC">
            <w:pPr>
              <w:rPr>
                <w:rFonts w:eastAsia="Calibri"/>
                <w:szCs w:val="24"/>
              </w:rPr>
            </w:pPr>
          </w:p>
        </w:tc>
        <w:tc>
          <w:tcPr>
            <w:tcW w:w="2102" w:type="dxa"/>
            <w:tcBorders>
              <w:left w:val="nil"/>
              <w:bottom w:val="single" w:sz="8" w:space="0" w:color="auto"/>
              <w:right w:val="nil"/>
            </w:tcBorders>
          </w:tcPr>
          <w:p w14:paraId="4D974513" w14:textId="77777777" w:rsidR="00EC35AC" w:rsidRPr="00CD3420" w:rsidRDefault="00EC35AC" w:rsidP="00EC35AC">
            <w:pPr>
              <w:rPr>
                <w:rFonts w:eastAsia="Calibri"/>
                <w:szCs w:val="24"/>
              </w:rPr>
            </w:pPr>
            <w:r w:rsidRPr="00CD3420">
              <w:rPr>
                <w:rFonts w:eastAsia="Calibri"/>
                <w:szCs w:val="24"/>
              </w:rPr>
              <w:t xml:space="preserve"> Σύνολο</w:t>
            </w:r>
          </w:p>
        </w:tc>
        <w:tc>
          <w:tcPr>
            <w:tcW w:w="1078" w:type="dxa"/>
            <w:tcBorders>
              <w:left w:val="nil"/>
              <w:bottom w:val="single" w:sz="8" w:space="0" w:color="auto"/>
              <w:right w:val="nil"/>
            </w:tcBorders>
          </w:tcPr>
          <w:p w14:paraId="3F41D5E0" w14:textId="77777777" w:rsidR="00EC35AC" w:rsidRPr="00CD3420" w:rsidRDefault="00EC35AC" w:rsidP="00EC35AC">
            <w:pPr>
              <w:rPr>
                <w:rFonts w:eastAsia="Calibri"/>
                <w:szCs w:val="24"/>
              </w:rPr>
            </w:pPr>
            <w:r w:rsidRPr="00CD3420">
              <w:rPr>
                <w:rFonts w:eastAsia="Calibri"/>
                <w:szCs w:val="24"/>
              </w:rPr>
              <w:t>297</w:t>
            </w:r>
          </w:p>
        </w:tc>
        <w:tc>
          <w:tcPr>
            <w:tcW w:w="1781" w:type="dxa"/>
            <w:tcBorders>
              <w:left w:val="nil"/>
              <w:bottom w:val="single" w:sz="8" w:space="0" w:color="auto"/>
              <w:right w:val="nil"/>
            </w:tcBorders>
          </w:tcPr>
          <w:p w14:paraId="5BB6C266" w14:textId="77777777" w:rsidR="00EC35AC" w:rsidRPr="00CD3420" w:rsidRDefault="00EC35AC" w:rsidP="00EC35AC">
            <w:pPr>
              <w:rPr>
                <w:rFonts w:eastAsia="Calibri"/>
                <w:szCs w:val="24"/>
              </w:rPr>
            </w:pPr>
            <w:r w:rsidRPr="00CD3420">
              <w:rPr>
                <w:rFonts w:eastAsia="Calibri"/>
                <w:szCs w:val="24"/>
              </w:rPr>
              <w:t>100</w:t>
            </w:r>
          </w:p>
        </w:tc>
      </w:tr>
    </w:tbl>
    <w:p w14:paraId="4F204F61" w14:textId="77777777" w:rsidR="00EC35AC" w:rsidRPr="00B02F11" w:rsidRDefault="00EC35AC" w:rsidP="00EC35AC">
      <w:pPr>
        <w:spacing w:line="264" w:lineRule="auto"/>
        <w:ind w:left="1416"/>
        <w:rPr>
          <w:rFonts w:eastAsia="Yu Gothic UI" w:cstheme="minorHAnsi"/>
          <w:color w:val="3498DB"/>
          <w:sz w:val="18"/>
          <w:szCs w:val="18"/>
          <w:lang w:val="el-GR"/>
        </w:rPr>
      </w:pPr>
    </w:p>
    <w:p w14:paraId="2592261D" w14:textId="77777777" w:rsidR="009422F2" w:rsidRDefault="00EC35AC" w:rsidP="007136D3">
      <w:pPr>
        <w:pStyle w:val="8"/>
      </w:pPr>
      <w:r w:rsidRPr="00145A99">
        <w:t xml:space="preserve">Όσον αφορά την κατανομή των δύο δειγμάτων κατά φύλο και εθνικότητα, </w:t>
      </w:r>
      <w:proofErr w:type="spellStart"/>
      <w:r w:rsidRPr="00145A99">
        <w:t>παρατήρηθηκε</w:t>
      </w:r>
      <w:proofErr w:type="spellEnd"/>
      <w:r w:rsidRPr="00145A99">
        <w:t xml:space="preserve"> ισοδύναμη εκπροσώπηση των φύλων και </w:t>
      </w:r>
      <w:proofErr w:type="spellStart"/>
      <w:r w:rsidRPr="00145A99">
        <w:t>υπερεκπροσώπηση</w:t>
      </w:r>
      <w:proofErr w:type="spellEnd"/>
      <w:r w:rsidRPr="00145A99">
        <w:t xml:space="preserve"> των μαθητών ελληνικής καταγωγής (Βλ. Πίνακας 2).</w:t>
      </w:r>
    </w:p>
    <w:p w14:paraId="72CCF342" w14:textId="77777777" w:rsidR="00C30844" w:rsidRDefault="00C30844" w:rsidP="007136D3">
      <w:pPr>
        <w:pStyle w:val="8"/>
      </w:pPr>
    </w:p>
    <w:p w14:paraId="3B9D2B2E" w14:textId="77777777" w:rsidR="00A51C47" w:rsidRPr="00BC36A8" w:rsidRDefault="00A51C47" w:rsidP="007136D3">
      <w:pPr>
        <w:pStyle w:val="8"/>
        <w:rPr>
          <w:rStyle w:val="Chare"/>
          <w:rFonts w:eastAsia="Yu Gothic UI" w:cstheme="minorHAnsi"/>
        </w:rPr>
      </w:pPr>
    </w:p>
    <w:tbl>
      <w:tblPr>
        <w:tblpPr w:leftFromText="180" w:rightFromText="180" w:vertAnchor="text" w:horzAnchor="margin" w:tblpY="45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94"/>
        <w:gridCol w:w="992"/>
        <w:gridCol w:w="1701"/>
        <w:gridCol w:w="1276"/>
        <w:gridCol w:w="284"/>
        <w:gridCol w:w="1275"/>
      </w:tblGrid>
      <w:tr w:rsidR="00EC35AC" w:rsidRPr="00CD3420" w14:paraId="772B6D63" w14:textId="77777777" w:rsidTr="00EC35AC">
        <w:trPr>
          <w:trHeight w:val="405"/>
        </w:trPr>
        <w:tc>
          <w:tcPr>
            <w:tcW w:w="9069" w:type="dxa"/>
            <w:gridSpan w:val="7"/>
            <w:tcBorders>
              <w:top w:val="nil"/>
              <w:left w:val="nil"/>
              <w:bottom w:val="nil"/>
              <w:right w:val="nil"/>
            </w:tcBorders>
            <w:vAlign w:val="center"/>
          </w:tcPr>
          <w:p w14:paraId="178E5576" w14:textId="77777777" w:rsidR="00EC35AC" w:rsidRPr="00CD3420" w:rsidRDefault="00EC35AC" w:rsidP="00EC35AC">
            <w:pPr>
              <w:rPr>
                <w:rFonts w:eastAsia="Calibri"/>
                <w:b/>
                <w:bCs/>
                <w:szCs w:val="24"/>
                <w:lang w:val="el-GR"/>
              </w:rPr>
            </w:pPr>
            <w:r w:rsidRPr="00CD3420">
              <w:rPr>
                <w:rStyle w:val="Chard"/>
                <w:b w:val="0"/>
                <w:bCs/>
                <w:szCs w:val="24"/>
              </w:rPr>
              <w:t>Πίνακας 2</w:t>
            </w:r>
            <w:r w:rsidRPr="00CD3420">
              <w:rPr>
                <w:rFonts w:eastAsia="Calibri"/>
                <w:b/>
                <w:bCs/>
                <w:szCs w:val="24"/>
                <w:lang w:val="el-GR"/>
              </w:rPr>
              <w:t xml:space="preserve">. </w:t>
            </w:r>
          </w:p>
          <w:p w14:paraId="4A7149DD" w14:textId="77777777" w:rsidR="00EC35AC" w:rsidRPr="00CD3420" w:rsidRDefault="00EC35AC" w:rsidP="00EC35AC">
            <w:pPr>
              <w:rPr>
                <w:rFonts w:eastAsia="Calibri"/>
                <w:b/>
                <w:szCs w:val="24"/>
                <w:lang w:val="el-GR"/>
              </w:rPr>
            </w:pPr>
            <w:r w:rsidRPr="00CD3420">
              <w:rPr>
                <w:rStyle w:val="Chare"/>
                <w:szCs w:val="24"/>
                <w:lang w:eastAsia="el-GR"/>
              </w:rPr>
              <w:t>Κατανομή των δύο δειγμάτων κατά φύλο και εθνικότητα</w:t>
            </w:r>
          </w:p>
        </w:tc>
      </w:tr>
      <w:tr w:rsidR="00EC35AC" w:rsidRPr="00CD3420" w14:paraId="685F6946" w14:textId="77777777" w:rsidTr="00EC35AC">
        <w:trPr>
          <w:trHeight w:val="405"/>
        </w:trPr>
        <w:tc>
          <w:tcPr>
            <w:tcW w:w="1350" w:type="dxa"/>
            <w:tcBorders>
              <w:top w:val="single" w:sz="4" w:space="0" w:color="auto"/>
              <w:left w:val="nil"/>
              <w:bottom w:val="nil"/>
              <w:right w:val="nil"/>
            </w:tcBorders>
            <w:vAlign w:val="center"/>
          </w:tcPr>
          <w:p w14:paraId="58106174" w14:textId="77777777" w:rsidR="00EC35AC" w:rsidRPr="00CD3420" w:rsidRDefault="00EC35AC" w:rsidP="00EC35AC">
            <w:pPr>
              <w:rPr>
                <w:rFonts w:eastAsia="Calibri"/>
                <w:sz w:val="22"/>
                <w:lang w:val="el-GR"/>
              </w:rPr>
            </w:pPr>
          </w:p>
        </w:tc>
        <w:tc>
          <w:tcPr>
            <w:tcW w:w="2194" w:type="dxa"/>
            <w:tcBorders>
              <w:top w:val="single" w:sz="4" w:space="0" w:color="auto"/>
              <w:left w:val="nil"/>
              <w:bottom w:val="nil"/>
              <w:right w:val="nil"/>
            </w:tcBorders>
            <w:vAlign w:val="center"/>
          </w:tcPr>
          <w:p w14:paraId="07778DF7" w14:textId="77777777" w:rsidR="00EC35AC" w:rsidRPr="00CD3420" w:rsidRDefault="00EC35AC" w:rsidP="00EC35AC">
            <w:pPr>
              <w:jc w:val="both"/>
              <w:rPr>
                <w:rFonts w:eastAsia="Calibri"/>
                <w:sz w:val="22"/>
                <w:lang w:val="el-GR"/>
              </w:rPr>
            </w:pPr>
          </w:p>
        </w:tc>
        <w:tc>
          <w:tcPr>
            <w:tcW w:w="2693" w:type="dxa"/>
            <w:gridSpan w:val="2"/>
            <w:tcBorders>
              <w:top w:val="single" w:sz="8" w:space="0" w:color="auto"/>
              <w:left w:val="nil"/>
              <w:right w:val="nil"/>
            </w:tcBorders>
          </w:tcPr>
          <w:p w14:paraId="108DE2A6" w14:textId="77777777" w:rsidR="00EC35AC" w:rsidRPr="00CD3420" w:rsidRDefault="00EC35AC" w:rsidP="00EC35AC">
            <w:pPr>
              <w:rPr>
                <w:rFonts w:eastAsia="Calibri"/>
                <w:b/>
                <w:sz w:val="22"/>
              </w:rPr>
            </w:pPr>
            <w:r w:rsidRPr="00CD3420">
              <w:rPr>
                <w:rFonts w:eastAsia="Calibri"/>
                <w:b/>
                <w:sz w:val="22"/>
                <w:lang w:val="el-GR"/>
              </w:rPr>
              <w:t xml:space="preserve">     </w:t>
            </w:r>
            <w:r w:rsidRPr="00CD3420">
              <w:rPr>
                <w:rFonts w:eastAsia="Calibri"/>
                <w:b/>
                <w:sz w:val="22"/>
              </w:rPr>
              <w:t>Δημοτικό</w:t>
            </w:r>
          </w:p>
        </w:tc>
        <w:tc>
          <w:tcPr>
            <w:tcW w:w="2832" w:type="dxa"/>
            <w:gridSpan w:val="3"/>
            <w:tcBorders>
              <w:top w:val="single" w:sz="8" w:space="0" w:color="auto"/>
              <w:left w:val="nil"/>
              <w:right w:val="nil"/>
            </w:tcBorders>
          </w:tcPr>
          <w:p w14:paraId="2E3CAA56" w14:textId="77777777" w:rsidR="00EC35AC" w:rsidRPr="00CD3420" w:rsidRDefault="00EC35AC" w:rsidP="00EC35AC">
            <w:pPr>
              <w:jc w:val="center"/>
              <w:rPr>
                <w:rFonts w:eastAsia="Calibri"/>
                <w:b/>
                <w:sz w:val="22"/>
              </w:rPr>
            </w:pPr>
            <w:r w:rsidRPr="00CD3420">
              <w:rPr>
                <w:rFonts w:eastAsia="Calibri"/>
                <w:b/>
                <w:sz w:val="22"/>
              </w:rPr>
              <w:t>Γυμνάσιο</w:t>
            </w:r>
          </w:p>
        </w:tc>
      </w:tr>
      <w:tr w:rsidR="00EC35AC" w:rsidRPr="00CD3420" w14:paraId="76AB8481" w14:textId="77777777" w:rsidTr="00EC35AC">
        <w:trPr>
          <w:trHeight w:val="397"/>
        </w:trPr>
        <w:tc>
          <w:tcPr>
            <w:tcW w:w="1350" w:type="dxa"/>
            <w:tcBorders>
              <w:top w:val="nil"/>
              <w:left w:val="nil"/>
              <w:bottom w:val="single" w:sz="8" w:space="0" w:color="auto"/>
              <w:right w:val="nil"/>
            </w:tcBorders>
            <w:vAlign w:val="center"/>
          </w:tcPr>
          <w:p w14:paraId="2F569FF0" w14:textId="77777777" w:rsidR="00EC35AC" w:rsidRPr="00CD3420" w:rsidRDefault="00EC35AC" w:rsidP="00EC35AC">
            <w:pPr>
              <w:rPr>
                <w:rFonts w:eastAsia="Calibri"/>
                <w:sz w:val="22"/>
              </w:rPr>
            </w:pPr>
          </w:p>
        </w:tc>
        <w:tc>
          <w:tcPr>
            <w:tcW w:w="2194" w:type="dxa"/>
            <w:tcBorders>
              <w:top w:val="nil"/>
              <w:left w:val="nil"/>
              <w:bottom w:val="single" w:sz="8" w:space="0" w:color="auto"/>
              <w:right w:val="nil"/>
            </w:tcBorders>
            <w:vAlign w:val="center"/>
          </w:tcPr>
          <w:p w14:paraId="2942772E" w14:textId="77777777" w:rsidR="00EC35AC" w:rsidRPr="00CD3420" w:rsidRDefault="00EC35AC" w:rsidP="00EC35AC">
            <w:pPr>
              <w:jc w:val="both"/>
              <w:rPr>
                <w:rFonts w:eastAsia="Calibri"/>
                <w:sz w:val="22"/>
              </w:rPr>
            </w:pPr>
          </w:p>
        </w:tc>
        <w:tc>
          <w:tcPr>
            <w:tcW w:w="992" w:type="dxa"/>
            <w:tcBorders>
              <w:top w:val="single" w:sz="8" w:space="0" w:color="auto"/>
              <w:left w:val="nil"/>
              <w:right w:val="nil"/>
            </w:tcBorders>
          </w:tcPr>
          <w:p w14:paraId="75E2F401" w14:textId="77777777" w:rsidR="00EC35AC" w:rsidRPr="00CD3420" w:rsidRDefault="00EC35AC" w:rsidP="00EC35AC">
            <w:pPr>
              <w:rPr>
                <w:rFonts w:eastAsia="Calibri"/>
                <w:i/>
                <w:sz w:val="22"/>
              </w:rPr>
            </w:pPr>
            <w:r w:rsidRPr="00CD3420">
              <w:rPr>
                <w:rFonts w:eastAsia="Calibri"/>
                <w:i/>
                <w:sz w:val="22"/>
              </w:rPr>
              <w:t>Ν</w:t>
            </w:r>
          </w:p>
        </w:tc>
        <w:tc>
          <w:tcPr>
            <w:tcW w:w="1701" w:type="dxa"/>
            <w:tcBorders>
              <w:top w:val="single" w:sz="8" w:space="0" w:color="auto"/>
              <w:left w:val="nil"/>
              <w:right w:val="nil"/>
            </w:tcBorders>
          </w:tcPr>
          <w:p w14:paraId="1EB7B178" w14:textId="77777777" w:rsidR="00EC35AC" w:rsidRPr="00CD3420" w:rsidRDefault="00EC35AC" w:rsidP="00EC35AC">
            <w:pPr>
              <w:jc w:val="both"/>
              <w:rPr>
                <w:rFonts w:eastAsia="Calibri"/>
                <w:sz w:val="22"/>
              </w:rPr>
            </w:pPr>
            <w:r w:rsidRPr="00CD3420">
              <w:rPr>
                <w:rFonts w:eastAsia="Calibri"/>
                <w:sz w:val="22"/>
              </w:rPr>
              <w:t>Ποσοστό %</w:t>
            </w:r>
          </w:p>
        </w:tc>
        <w:tc>
          <w:tcPr>
            <w:tcW w:w="1276" w:type="dxa"/>
            <w:tcBorders>
              <w:top w:val="single" w:sz="8" w:space="0" w:color="auto"/>
              <w:left w:val="nil"/>
              <w:right w:val="nil"/>
            </w:tcBorders>
          </w:tcPr>
          <w:p w14:paraId="081FF9AD" w14:textId="77777777" w:rsidR="00EC35AC" w:rsidRPr="00CD3420" w:rsidRDefault="00EC35AC" w:rsidP="00EC35AC">
            <w:pPr>
              <w:rPr>
                <w:rFonts w:eastAsia="Calibri"/>
                <w:i/>
                <w:sz w:val="22"/>
                <w:lang w:val="en-US"/>
              </w:rPr>
            </w:pPr>
            <w:r w:rsidRPr="00CD3420">
              <w:rPr>
                <w:rFonts w:eastAsia="Calibri"/>
                <w:i/>
                <w:sz w:val="22"/>
                <w:lang w:val="en-US"/>
              </w:rPr>
              <w:t>N</w:t>
            </w:r>
          </w:p>
        </w:tc>
        <w:tc>
          <w:tcPr>
            <w:tcW w:w="1556" w:type="dxa"/>
            <w:gridSpan w:val="2"/>
            <w:tcBorders>
              <w:top w:val="single" w:sz="8" w:space="0" w:color="auto"/>
              <w:left w:val="nil"/>
              <w:right w:val="nil"/>
            </w:tcBorders>
          </w:tcPr>
          <w:p w14:paraId="4DBA1459" w14:textId="77777777" w:rsidR="00EC35AC" w:rsidRPr="00CD3420" w:rsidRDefault="00EC35AC" w:rsidP="00EC35AC">
            <w:pPr>
              <w:ind w:right="-108"/>
              <w:jc w:val="both"/>
              <w:rPr>
                <w:rFonts w:eastAsia="Calibri"/>
                <w:sz w:val="22"/>
              </w:rPr>
            </w:pPr>
            <w:r w:rsidRPr="00CD3420">
              <w:rPr>
                <w:rFonts w:eastAsia="Calibri"/>
                <w:sz w:val="22"/>
                <w:lang w:val="el-GR"/>
              </w:rPr>
              <w:t xml:space="preserve">      </w:t>
            </w:r>
            <w:r w:rsidRPr="00CD3420">
              <w:rPr>
                <w:rFonts w:eastAsia="Calibri"/>
                <w:sz w:val="22"/>
              </w:rPr>
              <w:t>Ποσοστό %</w:t>
            </w:r>
          </w:p>
        </w:tc>
      </w:tr>
      <w:tr w:rsidR="00EC35AC" w:rsidRPr="00CD3420" w14:paraId="1285B83F" w14:textId="77777777" w:rsidTr="00EC35AC">
        <w:trPr>
          <w:trHeight w:val="558"/>
        </w:trPr>
        <w:tc>
          <w:tcPr>
            <w:tcW w:w="1350" w:type="dxa"/>
            <w:vMerge w:val="restart"/>
            <w:tcBorders>
              <w:top w:val="single" w:sz="8" w:space="0" w:color="auto"/>
              <w:left w:val="nil"/>
              <w:right w:val="nil"/>
            </w:tcBorders>
          </w:tcPr>
          <w:p w14:paraId="2D073177" w14:textId="77777777" w:rsidR="00EC35AC" w:rsidRPr="00CD3420" w:rsidRDefault="00EC35AC" w:rsidP="00EC35AC">
            <w:pPr>
              <w:jc w:val="both"/>
              <w:rPr>
                <w:rFonts w:eastAsia="Calibri"/>
                <w:sz w:val="22"/>
              </w:rPr>
            </w:pPr>
            <w:r w:rsidRPr="00CD3420">
              <w:rPr>
                <w:rFonts w:eastAsia="Calibri"/>
                <w:sz w:val="22"/>
              </w:rPr>
              <w:t>Φύλο</w:t>
            </w:r>
          </w:p>
          <w:p w14:paraId="08016B97" w14:textId="77777777" w:rsidR="00EC35AC" w:rsidRPr="00CD3420" w:rsidRDefault="00EC35AC" w:rsidP="00EC35AC">
            <w:pPr>
              <w:ind w:left="851"/>
              <w:jc w:val="both"/>
              <w:rPr>
                <w:rFonts w:eastAsia="Calibri"/>
                <w:sz w:val="22"/>
              </w:rPr>
            </w:pPr>
          </w:p>
        </w:tc>
        <w:tc>
          <w:tcPr>
            <w:tcW w:w="2194" w:type="dxa"/>
            <w:tcBorders>
              <w:top w:val="single" w:sz="8" w:space="0" w:color="auto"/>
              <w:left w:val="nil"/>
              <w:right w:val="nil"/>
            </w:tcBorders>
          </w:tcPr>
          <w:p w14:paraId="39892CAA" w14:textId="77777777" w:rsidR="00EC35AC" w:rsidRPr="00CD3420" w:rsidRDefault="00EC35AC" w:rsidP="00EC35AC">
            <w:pPr>
              <w:jc w:val="both"/>
              <w:rPr>
                <w:rFonts w:eastAsia="Calibri"/>
                <w:sz w:val="22"/>
              </w:rPr>
            </w:pPr>
            <w:r w:rsidRPr="00CD3420">
              <w:rPr>
                <w:rFonts w:eastAsia="Calibri"/>
                <w:sz w:val="22"/>
              </w:rPr>
              <w:t>Αγόρι</w:t>
            </w:r>
          </w:p>
          <w:p w14:paraId="5E83410F" w14:textId="77777777" w:rsidR="00EC35AC" w:rsidRPr="00CD3420" w:rsidRDefault="00EC35AC" w:rsidP="00EC35AC">
            <w:pPr>
              <w:jc w:val="both"/>
              <w:rPr>
                <w:rFonts w:eastAsia="Calibri"/>
                <w:sz w:val="22"/>
              </w:rPr>
            </w:pPr>
            <w:r w:rsidRPr="00CD3420">
              <w:rPr>
                <w:rFonts w:eastAsia="Calibri"/>
                <w:sz w:val="22"/>
              </w:rPr>
              <w:t>Κορίτσι</w:t>
            </w:r>
          </w:p>
        </w:tc>
        <w:tc>
          <w:tcPr>
            <w:tcW w:w="992" w:type="dxa"/>
            <w:tcBorders>
              <w:top w:val="single" w:sz="8" w:space="0" w:color="auto"/>
              <w:left w:val="nil"/>
              <w:right w:val="nil"/>
            </w:tcBorders>
          </w:tcPr>
          <w:p w14:paraId="6C63CB57" w14:textId="77777777" w:rsidR="00EC35AC" w:rsidRPr="00CD3420" w:rsidRDefault="00EC35AC" w:rsidP="00EC35AC">
            <w:pPr>
              <w:rPr>
                <w:rFonts w:eastAsia="Calibri"/>
                <w:sz w:val="22"/>
              </w:rPr>
            </w:pPr>
            <w:r w:rsidRPr="00CD3420">
              <w:rPr>
                <w:rFonts w:eastAsia="Calibri"/>
                <w:sz w:val="22"/>
              </w:rPr>
              <w:t>108</w:t>
            </w:r>
          </w:p>
          <w:p w14:paraId="4B7CC237" w14:textId="77777777" w:rsidR="00EC35AC" w:rsidRPr="00CD3420" w:rsidRDefault="00EC35AC" w:rsidP="00EC35AC">
            <w:pPr>
              <w:rPr>
                <w:rFonts w:eastAsia="Calibri"/>
                <w:sz w:val="22"/>
              </w:rPr>
            </w:pPr>
            <w:r w:rsidRPr="00CD3420">
              <w:rPr>
                <w:rFonts w:eastAsia="Calibri"/>
                <w:sz w:val="22"/>
              </w:rPr>
              <w:t>123</w:t>
            </w:r>
          </w:p>
        </w:tc>
        <w:tc>
          <w:tcPr>
            <w:tcW w:w="1701" w:type="dxa"/>
            <w:tcBorders>
              <w:top w:val="single" w:sz="8" w:space="0" w:color="auto"/>
              <w:left w:val="nil"/>
              <w:right w:val="nil"/>
            </w:tcBorders>
          </w:tcPr>
          <w:p w14:paraId="0C338A55" w14:textId="77777777" w:rsidR="00EC35AC" w:rsidRPr="00CD3420" w:rsidRDefault="00EC35AC" w:rsidP="00EC35AC">
            <w:pPr>
              <w:jc w:val="both"/>
              <w:rPr>
                <w:rFonts w:eastAsia="Calibri"/>
                <w:sz w:val="22"/>
              </w:rPr>
            </w:pPr>
            <w:r w:rsidRPr="00CD3420">
              <w:rPr>
                <w:rFonts w:eastAsia="Calibri"/>
                <w:sz w:val="22"/>
              </w:rPr>
              <w:t>46,8</w:t>
            </w:r>
          </w:p>
          <w:p w14:paraId="304E83E5" w14:textId="77777777" w:rsidR="00EC35AC" w:rsidRPr="00CD3420" w:rsidRDefault="00EC35AC" w:rsidP="00EC35AC">
            <w:pPr>
              <w:jc w:val="both"/>
              <w:rPr>
                <w:rFonts w:eastAsia="Calibri"/>
                <w:sz w:val="22"/>
              </w:rPr>
            </w:pPr>
            <w:r w:rsidRPr="00CD3420">
              <w:rPr>
                <w:rFonts w:eastAsia="Calibri"/>
                <w:sz w:val="22"/>
              </w:rPr>
              <w:t>53,2</w:t>
            </w:r>
          </w:p>
        </w:tc>
        <w:tc>
          <w:tcPr>
            <w:tcW w:w="1560" w:type="dxa"/>
            <w:gridSpan w:val="2"/>
            <w:tcBorders>
              <w:top w:val="single" w:sz="8" w:space="0" w:color="auto"/>
              <w:left w:val="nil"/>
              <w:right w:val="nil"/>
            </w:tcBorders>
          </w:tcPr>
          <w:p w14:paraId="4F26B7B1" w14:textId="77777777" w:rsidR="00EC35AC" w:rsidRPr="00CD3420" w:rsidRDefault="00EC35AC" w:rsidP="00EC35AC">
            <w:pPr>
              <w:jc w:val="both"/>
              <w:rPr>
                <w:rFonts w:eastAsia="Calibri"/>
                <w:sz w:val="22"/>
              </w:rPr>
            </w:pPr>
            <w:r w:rsidRPr="00CD3420">
              <w:rPr>
                <w:rFonts w:eastAsia="Calibri"/>
                <w:sz w:val="22"/>
              </w:rPr>
              <w:t>154</w:t>
            </w:r>
            <w:r w:rsidRPr="00CD3420">
              <w:rPr>
                <w:rFonts w:eastAsia="Calibri"/>
                <w:sz w:val="22"/>
              </w:rPr>
              <w:br/>
              <w:t>143</w:t>
            </w:r>
          </w:p>
        </w:tc>
        <w:tc>
          <w:tcPr>
            <w:tcW w:w="1275" w:type="dxa"/>
            <w:tcBorders>
              <w:top w:val="single" w:sz="8" w:space="0" w:color="auto"/>
              <w:left w:val="nil"/>
              <w:right w:val="nil"/>
            </w:tcBorders>
          </w:tcPr>
          <w:p w14:paraId="1B61D06D" w14:textId="77777777" w:rsidR="00EC35AC" w:rsidRPr="00CD3420" w:rsidRDefault="00EC35AC" w:rsidP="00EC35AC">
            <w:pPr>
              <w:jc w:val="both"/>
              <w:rPr>
                <w:rFonts w:eastAsia="Calibri"/>
                <w:sz w:val="22"/>
              </w:rPr>
            </w:pPr>
            <w:r w:rsidRPr="00CD3420">
              <w:rPr>
                <w:rFonts w:eastAsia="Calibri"/>
                <w:sz w:val="22"/>
              </w:rPr>
              <w:t>51,9</w:t>
            </w:r>
            <w:r w:rsidRPr="00CD3420">
              <w:rPr>
                <w:rFonts w:eastAsia="Calibri"/>
                <w:sz w:val="22"/>
              </w:rPr>
              <w:br/>
              <w:t>48,1</w:t>
            </w:r>
          </w:p>
        </w:tc>
      </w:tr>
      <w:tr w:rsidR="00EC35AC" w:rsidRPr="00CD3420" w14:paraId="156202DE" w14:textId="77777777" w:rsidTr="00EC35AC">
        <w:trPr>
          <w:trHeight w:val="293"/>
        </w:trPr>
        <w:tc>
          <w:tcPr>
            <w:tcW w:w="1350" w:type="dxa"/>
            <w:vMerge/>
            <w:tcBorders>
              <w:left w:val="nil"/>
              <w:bottom w:val="single" w:sz="8" w:space="0" w:color="auto"/>
              <w:right w:val="nil"/>
            </w:tcBorders>
          </w:tcPr>
          <w:p w14:paraId="2EFA09C7" w14:textId="77777777" w:rsidR="00EC35AC" w:rsidRPr="00CD3420" w:rsidRDefault="00EC35AC" w:rsidP="00EC35AC">
            <w:pPr>
              <w:ind w:left="851"/>
              <w:jc w:val="both"/>
              <w:rPr>
                <w:rFonts w:eastAsia="Calibri"/>
                <w:sz w:val="22"/>
              </w:rPr>
            </w:pPr>
          </w:p>
        </w:tc>
        <w:tc>
          <w:tcPr>
            <w:tcW w:w="2194" w:type="dxa"/>
            <w:tcBorders>
              <w:left w:val="nil"/>
              <w:bottom w:val="single" w:sz="8" w:space="0" w:color="auto"/>
              <w:right w:val="nil"/>
            </w:tcBorders>
          </w:tcPr>
          <w:p w14:paraId="4955D64F"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8" w:space="0" w:color="auto"/>
              <w:right w:val="nil"/>
            </w:tcBorders>
          </w:tcPr>
          <w:p w14:paraId="7D0B6552" w14:textId="77777777" w:rsidR="00EC35AC" w:rsidRPr="00CD3420" w:rsidRDefault="00EC35AC" w:rsidP="00EC35AC">
            <w:pPr>
              <w:rPr>
                <w:rFonts w:eastAsia="Calibri"/>
                <w:sz w:val="22"/>
              </w:rPr>
            </w:pPr>
            <w:r w:rsidRPr="00CD3420">
              <w:rPr>
                <w:rFonts w:eastAsia="Calibri"/>
                <w:sz w:val="22"/>
              </w:rPr>
              <w:t>231</w:t>
            </w:r>
          </w:p>
        </w:tc>
        <w:tc>
          <w:tcPr>
            <w:tcW w:w="1701" w:type="dxa"/>
            <w:tcBorders>
              <w:left w:val="nil"/>
              <w:bottom w:val="single" w:sz="8" w:space="0" w:color="auto"/>
              <w:right w:val="nil"/>
            </w:tcBorders>
          </w:tcPr>
          <w:p w14:paraId="393AE5B6"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8" w:space="0" w:color="auto"/>
              <w:right w:val="nil"/>
            </w:tcBorders>
          </w:tcPr>
          <w:p w14:paraId="238B58C0" w14:textId="77777777" w:rsidR="00EC35AC" w:rsidRPr="00CD3420" w:rsidRDefault="00EC35AC" w:rsidP="00EC35AC">
            <w:pPr>
              <w:jc w:val="both"/>
              <w:rPr>
                <w:rFonts w:eastAsia="Calibri"/>
                <w:sz w:val="22"/>
              </w:rPr>
            </w:pPr>
            <w:r w:rsidRPr="00CD3420">
              <w:rPr>
                <w:rFonts w:eastAsia="Calibri"/>
                <w:sz w:val="22"/>
              </w:rPr>
              <w:t>297</w:t>
            </w:r>
          </w:p>
        </w:tc>
        <w:tc>
          <w:tcPr>
            <w:tcW w:w="1275" w:type="dxa"/>
            <w:tcBorders>
              <w:left w:val="nil"/>
              <w:bottom w:val="single" w:sz="8" w:space="0" w:color="auto"/>
              <w:right w:val="nil"/>
            </w:tcBorders>
          </w:tcPr>
          <w:p w14:paraId="33D88B3A" w14:textId="77777777" w:rsidR="00EC35AC" w:rsidRPr="00CD3420" w:rsidRDefault="00EC35AC" w:rsidP="00EC35AC">
            <w:pPr>
              <w:jc w:val="both"/>
              <w:rPr>
                <w:rFonts w:eastAsia="Calibri"/>
                <w:sz w:val="22"/>
              </w:rPr>
            </w:pPr>
            <w:r w:rsidRPr="00CD3420">
              <w:rPr>
                <w:rFonts w:eastAsia="Calibri"/>
                <w:sz w:val="22"/>
              </w:rPr>
              <w:t>100</w:t>
            </w:r>
          </w:p>
        </w:tc>
      </w:tr>
      <w:tr w:rsidR="00EC35AC" w:rsidRPr="00CD3420" w14:paraId="44F4CC7E" w14:textId="77777777" w:rsidTr="00EC35AC">
        <w:trPr>
          <w:trHeight w:val="689"/>
        </w:trPr>
        <w:tc>
          <w:tcPr>
            <w:tcW w:w="1350" w:type="dxa"/>
            <w:vMerge w:val="restart"/>
            <w:tcBorders>
              <w:top w:val="single" w:sz="8" w:space="0" w:color="auto"/>
              <w:left w:val="nil"/>
              <w:right w:val="nil"/>
            </w:tcBorders>
          </w:tcPr>
          <w:p w14:paraId="6C14CD78" w14:textId="77777777" w:rsidR="00EC35AC" w:rsidRPr="00CD3420" w:rsidRDefault="00EC35AC" w:rsidP="00EC35AC">
            <w:pPr>
              <w:jc w:val="both"/>
              <w:rPr>
                <w:rFonts w:eastAsia="Calibri"/>
                <w:sz w:val="22"/>
              </w:rPr>
            </w:pPr>
            <w:r w:rsidRPr="00CD3420">
              <w:rPr>
                <w:rFonts w:eastAsia="Calibri"/>
                <w:sz w:val="22"/>
              </w:rPr>
              <w:t>Εθνικότητα</w:t>
            </w:r>
          </w:p>
          <w:p w14:paraId="751B7817" w14:textId="77777777" w:rsidR="00EC35AC" w:rsidRPr="00CD3420" w:rsidRDefault="00EC35AC" w:rsidP="00EC35AC">
            <w:pPr>
              <w:ind w:left="709"/>
              <w:jc w:val="both"/>
              <w:rPr>
                <w:rFonts w:eastAsia="Calibri"/>
                <w:sz w:val="22"/>
              </w:rPr>
            </w:pPr>
          </w:p>
        </w:tc>
        <w:tc>
          <w:tcPr>
            <w:tcW w:w="2194" w:type="dxa"/>
            <w:tcBorders>
              <w:top w:val="single" w:sz="8" w:space="0" w:color="auto"/>
              <w:left w:val="nil"/>
              <w:right w:val="nil"/>
            </w:tcBorders>
          </w:tcPr>
          <w:p w14:paraId="39DB022B" w14:textId="77777777" w:rsidR="00EC35AC" w:rsidRPr="00CD3420" w:rsidRDefault="00EC35AC" w:rsidP="00EC35AC">
            <w:pPr>
              <w:jc w:val="both"/>
              <w:rPr>
                <w:rFonts w:eastAsia="Calibri"/>
                <w:sz w:val="22"/>
              </w:rPr>
            </w:pPr>
            <w:r w:rsidRPr="00CD3420">
              <w:rPr>
                <w:rFonts w:eastAsia="Calibri"/>
                <w:sz w:val="22"/>
              </w:rPr>
              <w:t>Έλληνες</w:t>
            </w:r>
          </w:p>
          <w:p w14:paraId="21EEF02F" w14:textId="77777777" w:rsidR="00EC35AC" w:rsidRPr="00CD3420" w:rsidRDefault="00EC35AC" w:rsidP="00EC35AC">
            <w:pPr>
              <w:jc w:val="both"/>
              <w:rPr>
                <w:rFonts w:eastAsia="Calibri"/>
                <w:sz w:val="22"/>
              </w:rPr>
            </w:pPr>
            <w:r w:rsidRPr="00CD3420">
              <w:rPr>
                <w:rFonts w:eastAsia="Calibri"/>
                <w:sz w:val="22"/>
              </w:rPr>
              <w:t>Αλλοδαποί</w:t>
            </w:r>
          </w:p>
          <w:p w14:paraId="6680F644" w14:textId="77777777" w:rsidR="00EC35AC" w:rsidRPr="00CD3420" w:rsidRDefault="00EC35AC" w:rsidP="00EC35AC">
            <w:pPr>
              <w:jc w:val="both"/>
              <w:rPr>
                <w:rFonts w:eastAsia="Calibri"/>
                <w:sz w:val="22"/>
              </w:rPr>
            </w:pPr>
            <w:r w:rsidRPr="00CD3420">
              <w:rPr>
                <w:rFonts w:eastAsia="Calibri"/>
                <w:sz w:val="22"/>
              </w:rPr>
              <w:t xml:space="preserve">Παλιννοστούντες </w:t>
            </w:r>
          </w:p>
        </w:tc>
        <w:tc>
          <w:tcPr>
            <w:tcW w:w="992" w:type="dxa"/>
            <w:tcBorders>
              <w:top w:val="single" w:sz="8" w:space="0" w:color="auto"/>
              <w:left w:val="nil"/>
              <w:right w:val="nil"/>
            </w:tcBorders>
          </w:tcPr>
          <w:p w14:paraId="7C747B92" w14:textId="77777777" w:rsidR="00EC35AC" w:rsidRPr="00CD3420" w:rsidRDefault="00EC35AC" w:rsidP="00EC35AC">
            <w:pPr>
              <w:rPr>
                <w:rFonts w:eastAsia="Calibri"/>
                <w:sz w:val="22"/>
              </w:rPr>
            </w:pPr>
            <w:r w:rsidRPr="00CD3420">
              <w:rPr>
                <w:rFonts w:eastAsia="Calibri"/>
                <w:sz w:val="22"/>
              </w:rPr>
              <w:t>157</w:t>
            </w:r>
          </w:p>
          <w:p w14:paraId="1BB58D52" w14:textId="77777777" w:rsidR="00EC35AC" w:rsidRPr="00CD3420" w:rsidRDefault="00EC35AC" w:rsidP="00EC35AC">
            <w:pPr>
              <w:rPr>
                <w:rFonts w:eastAsia="Calibri"/>
                <w:sz w:val="22"/>
              </w:rPr>
            </w:pPr>
            <w:r w:rsidRPr="00CD3420">
              <w:rPr>
                <w:rFonts w:eastAsia="Calibri"/>
                <w:sz w:val="22"/>
              </w:rPr>
              <w:t>28</w:t>
            </w:r>
          </w:p>
          <w:p w14:paraId="1EFB513E" w14:textId="77777777" w:rsidR="00EC35AC" w:rsidRPr="00CD3420" w:rsidRDefault="00EC35AC" w:rsidP="00EC35AC">
            <w:pPr>
              <w:rPr>
                <w:rFonts w:eastAsia="Calibri"/>
                <w:sz w:val="22"/>
              </w:rPr>
            </w:pPr>
            <w:r w:rsidRPr="00CD3420">
              <w:rPr>
                <w:rFonts w:eastAsia="Calibri"/>
                <w:sz w:val="22"/>
              </w:rPr>
              <w:t>46</w:t>
            </w:r>
          </w:p>
        </w:tc>
        <w:tc>
          <w:tcPr>
            <w:tcW w:w="1701" w:type="dxa"/>
            <w:tcBorders>
              <w:top w:val="single" w:sz="8" w:space="0" w:color="auto"/>
              <w:left w:val="nil"/>
              <w:right w:val="nil"/>
            </w:tcBorders>
          </w:tcPr>
          <w:p w14:paraId="2A6871D2" w14:textId="77777777" w:rsidR="00EC35AC" w:rsidRPr="00CD3420" w:rsidRDefault="00EC35AC" w:rsidP="00EC35AC">
            <w:pPr>
              <w:jc w:val="both"/>
              <w:rPr>
                <w:rFonts w:eastAsia="Calibri"/>
                <w:sz w:val="22"/>
              </w:rPr>
            </w:pPr>
            <w:r w:rsidRPr="00CD3420">
              <w:rPr>
                <w:rFonts w:eastAsia="Calibri"/>
                <w:sz w:val="22"/>
              </w:rPr>
              <w:t>68,0</w:t>
            </w:r>
          </w:p>
          <w:p w14:paraId="03E344E8" w14:textId="77777777" w:rsidR="00EC35AC" w:rsidRPr="00CD3420" w:rsidRDefault="00EC35AC" w:rsidP="00EC35AC">
            <w:pPr>
              <w:jc w:val="both"/>
              <w:rPr>
                <w:rFonts w:eastAsia="Calibri"/>
                <w:sz w:val="22"/>
              </w:rPr>
            </w:pPr>
            <w:r w:rsidRPr="00CD3420">
              <w:rPr>
                <w:rFonts w:eastAsia="Calibri"/>
                <w:sz w:val="22"/>
              </w:rPr>
              <w:t>12,1</w:t>
            </w:r>
          </w:p>
          <w:p w14:paraId="40D733ED" w14:textId="77777777" w:rsidR="00EC35AC" w:rsidRPr="00CD3420" w:rsidRDefault="00EC35AC" w:rsidP="00EC35AC">
            <w:pPr>
              <w:jc w:val="both"/>
              <w:rPr>
                <w:rFonts w:eastAsia="Calibri"/>
                <w:sz w:val="22"/>
              </w:rPr>
            </w:pPr>
            <w:r w:rsidRPr="00CD3420">
              <w:rPr>
                <w:rFonts w:eastAsia="Calibri"/>
                <w:sz w:val="22"/>
              </w:rPr>
              <w:t>19.9</w:t>
            </w:r>
          </w:p>
        </w:tc>
        <w:tc>
          <w:tcPr>
            <w:tcW w:w="1560" w:type="dxa"/>
            <w:gridSpan w:val="2"/>
            <w:tcBorders>
              <w:top w:val="single" w:sz="8" w:space="0" w:color="auto"/>
              <w:left w:val="nil"/>
              <w:right w:val="nil"/>
            </w:tcBorders>
          </w:tcPr>
          <w:p w14:paraId="1AEFD50E" w14:textId="77777777" w:rsidR="00EC35AC" w:rsidRPr="00CD3420" w:rsidRDefault="00EC35AC" w:rsidP="00EC35AC">
            <w:pPr>
              <w:jc w:val="both"/>
              <w:rPr>
                <w:rFonts w:eastAsia="Calibri"/>
                <w:sz w:val="22"/>
              </w:rPr>
            </w:pPr>
            <w:r w:rsidRPr="00CD3420">
              <w:rPr>
                <w:rFonts w:eastAsia="Calibri"/>
                <w:sz w:val="22"/>
              </w:rPr>
              <w:t>217</w:t>
            </w:r>
            <w:r w:rsidRPr="00CD3420">
              <w:rPr>
                <w:rFonts w:eastAsia="Calibri"/>
                <w:sz w:val="22"/>
              </w:rPr>
              <w:br/>
              <w:t>80</w:t>
            </w:r>
            <w:r w:rsidRPr="00CD3420">
              <w:rPr>
                <w:rFonts w:eastAsia="Calibri"/>
                <w:sz w:val="22"/>
              </w:rPr>
              <w:br/>
              <w:t>0</w:t>
            </w:r>
          </w:p>
        </w:tc>
        <w:tc>
          <w:tcPr>
            <w:tcW w:w="1275" w:type="dxa"/>
            <w:tcBorders>
              <w:top w:val="single" w:sz="8" w:space="0" w:color="auto"/>
              <w:left w:val="nil"/>
              <w:right w:val="nil"/>
            </w:tcBorders>
          </w:tcPr>
          <w:p w14:paraId="7DCD3846"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73,1</w:t>
            </w:r>
            <w:r w:rsidRPr="00CD3420">
              <w:rPr>
                <w:rFonts w:eastAsia="Calibri"/>
                <w:sz w:val="22"/>
              </w:rPr>
              <w:br/>
              <w:t xml:space="preserve"> 26,9</w:t>
            </w:r>
            <w:r w:rsidRPr="00CD3420">
              <w:rPr>
                <w:rFonts w:eastAsia="Calibri"/>
                <w:sz w:val="22"/>
              </w:rPr>
              <w:br/>
              <w:t xml:space="preserve"> 0</w:t>
            </w:r>
          </w:p>
        </w:tc>
      </w:tr>
      <w:tr w:rsidR="00EC35AC" w:rsidRPr="00CD3420" w14:paraId="651EBCE1" w14:textId="77777777" w:rsidTr="00EC35AC">
        <w:trPr>
          <w:trHeight w:val="271"/>
        </w:trPr>
        <w:tc>
          <w:tcPr>
            <w:tcW w:w="1350" w:type="dxa"/>
            <w:vMerge/>
            <w:tcBorders>
              <w:left w:val="nil"/>
              <w:bottom w:val="single" w:sz="4" w:space="0" w:color="auto"/>
              <w:right w:val="nil"/>
            </w:tcBorders>
          </w:tcPr>
          <w:p w14:paraId="7E55C95F" w14:textId="77777777" w:rsidR="00EC35AC" w:rsidRPr="00CD3420" w:rsidRDefault="00EC35AC" w:rsidP="00EC35AC">
            <w:pPr>
              <w:ind w:left="851"/>
              <w:jc w:val="both"/>
              <w:rPr>
                <w:rFonts w:eastAsia="Calibri"/>
                <w:sz w:val="22"/>
              </w:rPr>
            </w:pPr>
          </w:p>
        </w:tc>
        <w:tc>
          <w:tcPr>
            <w:tcW w:w="2194" w:type="dxa"/>
            <w:tcBorders>
              <w:left w:val="nil"/>
              <w:bottom w:val="single" w:sz="4" w:space="0" w:color="auto"/>
              <w:right w:val="nil"/>
            </w:tcBorders>
          </w:tcPr>
          <w:p w14:paraId="3C1B4C48"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4" w:space="0" w:color="auto"/>
              <w:right w:val="nil"/>
            </w:tcBorders>
          </w:tcPr>
          <w:p w14:paraId="7E4A28EA" w14:textId="77777777" w:rsidR="00EC35AC" w:rsidRPr="00CD3420" w:rsidRDefault="00EC35AC" w:rsidP="00EC35AC">
            <w:pPr>
              <w:jc w:val="both"/>
              <w:rPr>
                <w:rFonts w:eastAsia="Calibri"/>
                <w:sz w:val="22"/>
              </w:rPr>
            </w:pPr>
            <w:r w:rsidRPr="00CD3420">
              <w:rPr>
                <w:rFonts w:eastAsia="Calibri"/>
                <w:sz w:val="22"/>
              </w:rPr>
              <w:t>231</w:t>
            </w:r>
          </w:p>
        </w:tc>
        <w:tc>
          <w:tcPr>
            <w:tcW w:w="1701" w:type="dxa"/>
            <w:tcBorders>
              <w:left w:val="nil"/>
              <w:bottom w:val="single" w:sz="4" w:space="0" w:color="auto"/>
              <w:right w:val="nil"/>
            </w:tcBorders>
          </w:tcPr>
          <w:p w14:paraId="7E109323"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4" w:space="0" w:color="auto"/>
              <w:right w:val="nil"/>
            </w:tcBorders>
          </w:tcPr>
          <w:p w14:paraId="5CE9A8EA" w14:textId="77777777" w:rsidR="00EC35AC" w:rsidRPr="00CD3420" w:rsidRDefault="00EC35AC" w:rsidP="00EC35AC">
            <w:pPr>
              <w:jc w:val="both"/>
              <w:rPr>
                <w:rFonts w:eastAsia="Calibri"/>
                <w:sz w:val="22"/>
              </w:rPr>
            </w:pPr>
            <w:r w:rsidRPr="00CD3420">
              <w:rPr>
                <w:rFonts w:eastAsia="Calibri"/>
                <w:sz w:val="22"/>
              </w:rPr>
              <w:t xml:space="preserve">297    </w:t>
            </w:r>
          </w:p>
        </w:tc>
        <w:tc>
          <w:tcPr>
            <w:tcW w:w="1275" w:type="dxa"/>
            <w:tcBorders>
              <w:left w:val="nil"/>
              <w:bottom w:val="single" w:sz="4" w:space="0" w:color="auto"/>
              <w:right w:val="nil"/>
            </w:tcBorders>
          </w:tcPr>
          <w:p w14:paraId="0B01F4F3"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100</w:t>
            </w:r>
          </w:p>
        </w:tc>
      </w:tr>
    </w:tbl>
    <w:p w14:paraId="67410330" w14:textId="77777777" w:rsidR="00EC35AC" w:rsidRPr="003F695F" w:rsidRDefault="00EC35AC" w:rsidP="00EC35AC">
      <w:pPr>
        <w:pStyle w:val="92"/>
      </w:pPr>
      <w:r>
        <w:t>Ακαδημαϊκή Επίδοση</w:t>
      </w:r>
    </w:p>
    <w:p w14:paraId="44244784" w14:textId="77777777" w:rsidR="00EC35AC" w:rsidRDefault="00EC35AC" w:rsidP="007136D3">
      <w:pPr>
        <w:pStyle w:val="8"/>
        <w:rPr>
          <w:lang w:val="en-US"/>
        </w:rPr>
      </w:pPr>
      <w:r w:rsidRPr="00875837">
        <w:t xml:space="preserve">Τα δεδομένα που αφορούν στην ακαδημαϊκή επίδοση των μαθητών αντλήθηκαν από τις ατομικές καρτέλες της σχολικής βαθμολογίας τους. Ειδικότερα, η μέση επίδοση των μαθητών Δημοτικού με βάση τους μέσους όρους τους στην παραδοσιακή </w:t>
      </w:r>
      <w:proofErr w:type="spellStart"/>
      <w:r w:rsidRPr="00875837">
        <w:t>δεκάβαθμη</w:t>
      </w:r>
      <w:proofErr w:type="spellEnd"/>
      <w:r w:rsidRPr="00875837">
        <w:t xml:space="preserve"> κλίμακα της σχολικής βαθμολογίας ήταν 9,35. Αντίστοιχα, η μέση επίδοση των μαθητών Γυμνασίου λαμβάνοντας υπόψη τους μέσους όρους τους στην </w:t>
      </w:r>
      <w:proofErr w:type="spellStart"/>
      <w:r w:rsidRPr="00875837">
        <w:t>εικοσάβαθμη</w:t>
      </w:r>
      <w:proofErr w:type="spellEnd"/>
      <w:r w:rsidRPr="00875837">
        <w:t xml:space="preserve"> βαθμολογική κλίμακα ήταν 15,51 (Βλ. </w:t>
      </w:r>
      <w:proofErr w:type="spellStart"/>
      <w:r w:rsidRPr="00875837">
        <w:rPr>
          <w:lang w:val="en-US"/>
        </w:rPr>
        <w:t>Πίν</w:t>
      </w:r>
      <w:proofErr w:type="spellEnd"/>
      <w:r w:rsidRPr="00875837">
        <w:rPr>
          <w:lang w:val="en-US"/>
        </w:rPr>
        <w:t>ακας 3).</w:t>
      </w:r>
    </w:p>
    <w:p w14:paraId="3ED86F31" w14:textId="77777777" w:rsidR="0063614E" w:rsidRPr="00BC36A8" w:rsidRDefault="0063614E" w:rsidP="007136D3">
      <w:pPr>
        <w:pStyle w:val="8"/>
      </w:pPr>
    </w:p>
    <w:p w14:paraId="102E7548" w14:textId="77777777" w:rsidR="00EC35AC" w:rsidRPr="00CD3420" w:rsidRDefault="00EC35AC" w:rsidP="00EC35AC">
      <w:pPr>
        <w:rPr>
          <w:lang w:eastAsia="el-GR"/>
        </w:rPr>
      </w:pPr>
      <w:r w:rsidRPr="00CD3420">
        <w:rPr>
          <w:lang w:eastAsia="el-GR"/>
        </w:rPr>
        <w:t xml:space="preserve">Πίνακας 3. </w:t>
      </w:r>
    </w:p>
    <w:p w14:paraId="615613C3" w14:textId="77777777" w:rsidR="00EC35AC" w:rsidRDefault="00EC35AC" w:rsidP="00EC35AC">
      <w:pPr>
        <w:rPr>
          <w:lang w:eastAsia="el-GR"/>
        </w:rPr>
      </w:pPr>
      <w:r w:rsidRPr="00CD3420">
        <w:rPr>
          <w:lang w:eastAsia="el-GR"/>
        </w:rPr>
        <w:t>Μέση ακαδημαϊκή επίδοση μαθητών Δημοτικού και Γυμνασίου</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1701"/>
        <w:gridCol w:w="1968"/>
      </w:tblGrid>
      <w:tr w:rsidR="00EC35AC" w:rsidRPr="00CD3420" w14:paraId="53699D03" w14:textId="77777777" w:rsidTr="00EC35AC">
        <w:trPr>
          <w:trHeight w:hRule="exact" w:val="311"/>
          <w:jc w:val="center"/>
        </w:trPr>
        <w:tc>
          <w:tcPr>
            <w:tcW w:w="2452" w:type="dxa"/>
            <w:tcBorders>
              <w:top w:val="single" w:sz="4" w:space="0" w:color="auto"/>
              <w:left w:val="nil"/>
              <w:bottom w:val="nil"/>
              <w:right w:val="nil"/>
            </w:tcBorders>
            <w:vAlign w:val="center"/>
          </w:tcPr>
          <w:p w14:paraId="3E40FA0E" w14:textId="77777777" w:rsidR="00EC35AC" w:rsidRPr="00CD3420" w:rsidRDefault="00EC35AC" w:rsidP="00EC35AC">
            <w:pPr>
              <w:rPr>
                <w:lang w:eastAsia="el-GR"/>
              </w:rPr>
            </w:pPr>
            <w:bookmarkStart w:id="4" w:name="_Hlk20389964"/>
          </w:p>
        </w:tc>
        <w:tc>
          <w:tcPr>
            <w:tcW w:w="1701" w:type="dxa"/>
            <w:tcBorders>
              <w:top w:val="single" w:sz="4" w:space="0" w:color="auto"/>
              <w:left w:val="nil"/>
              <w:bottom w:val="single" w:sz="4" w:space="0" w:color="auto"/>
              <w:right w:val="nil"/>
            </w:tcBorders>
            <w:vAlign w:val="center"/>
          </w:tcPr>
          <w:p w14:paraId="5DC5B93C" w14:textId="77777777" w:rsidR="00EC35AC" w:rsidRPr="00CD3420" w:rsidRDefault="00EC35AC" w:rsidP="00EC35AC">
            <w:pPr>
              <w:rPr>
                <w:b/>
                <w:lang w:eastAsia="el-GR"/>
              </w:rPr>
            </w:pPr>
            <w:r w:rsidRPr="00CD3420">
              <w:rPr>
                <w:b/>
                <w:lang w:eastAsia="el-GR"/>
              </w:rPr>
              <w:t>Δημοτικό</w:t>
            </w:r>
          </w:p>
        </w:tc>
        <w:tc>
          <w:tcPr>
            <w:tcW w:w="1968" w:type="dxa"/>
            <w:tcBorders>
              <w:top w:val="single" w:sz="4" w:space="0" w:color="auto"/>
              <w:left w:val="nil"/>
              <w:bottom w:val="single" w:sz="4" w:space="0" w:color="auto"/>
              <w:right w:val="nil"/>
            </w:tcBorders>
            <w:vAlign w:val="center"/>
          </w:tcPr>
          <w:p w14:paraId="05601DF3" w14:textId="77777777" w:rsidR="00EC35AC" w:rsidRPr="00CD3420" w:rsidRDefault="00EC35AC" w:rsidP="00EC35AC">
            <w:pPr>
              <w:rPr>
                <w:b/>
                <w:lang w:eastAsia="el-GR"/>
              </w:rPr>
            </w:pPr>
            <w:r w:rsidRPr="00CD3420">
              <w:rPr>
                <w:b/>
                <w:lang w:eastAsia="el-GR"/>
              </w:rPr>
              <w:t>Γυμνάσιο</w:t>
            </w:r>
          </w:p>
        </w:tc>
      </w:tr>
      <w:tr w:rsidR="00EC35AC" w:rsidRPr="00CD3420" w14:paraId="2E9FBB4C" w14:textId="77777777" w:rsidTr="00EC35AC">
        <w:trPr>
          <w:trHeight w:hRule="exact" w:val="302"/>
          <w:jc w:val="center"/>
        </w:trPr>
        <w:tc>
          <w:tcPr>
            <w:tcW w:w="2452" w:type="dxa"/>
            <w:tcBorders>
              <w:top w:val="nil"/>
              <w:left w:val="nil"/>
              <w:bottom w:val="nil"/>
              <w:right w:val="nil"/>
            </w:tcBorders>
            <w:vAlign w:val="center"/>
          </w:tcPr>
          <w:p w14:paraId="15B95C9A" w14:textId="77777777" w:rsidR="00EC35AC" w:rsidRPr="00CD3420" w:rsidRDefault="00EC35AC" w:rsidP="00EC35AC">
            <w:pPr>
              <w:rPr>
                <w:lang w:eastAsia="el-GR"/>
              </w:rPr>
            </w:pPr>
            <w:r w:rsidRPr="00CD3420">
              <w:rPr>
                <w:lang w:eastAsia="el-GR"/>
              </w:rPr>
              <w:t>Μέσος Όρος</w:t>
            </w:r>
          </w:p>
        </w:tc>
        <w:tc>
          <w:tcPr>
            <w:tcW w:w="1701" w:type="dxa"/>
            <w:tcBorders>
              <w:top w:val="single" w:sz="4" w:space="0" w:color="auto"/>
              <w:left w:val="nil"/>
              <w:bottom w:val="nil"/>
              <w:right w:val="nil"/>
            </w:tcBorders>
            <w:vAlign w:val="center"/>
          </w:tcPr>
          <w:p w14:paraId="032231A0" w14:textId="77777777" w:rsidR="00EC35AC" w:rsidRPr="00CD3420" w:rsidRDefault="00EC35AC" w:rsidP="00EC35AC">
            <w:pPr>
              <w:rPr>
                <w:lang w:eastAsia="el-GR"/>
              </w:rPr>
            </w:pPr>
            <w:r w:rsidRPr="00CD3420">
              <w:rPr>
                <w:lang w:eastAsia="el-GR"/>
              </w:rPr>
              <w:t>9,35</w:t>
            </w:r>
          </w:p>
        </w:tc>
        <w:tc>
          <w:tcPr>
            <w:tcW w:w="1968" w:type="dxa"/>
            <w:tcBorders>
              <w:top w:val="single" w:sz="4" w:space="0" w:color="auto"/>
              <w:left w:val="nil"/>
              <w:bottom w:val="nil"/>
              <w:right w:val="nil"/>
            </w:tcBorders>
            <w:vAlign w:val="center"/>
          </w:tcPr>
          <w:p w14:paraId="51D68B02" w14:textId="77777777" w:rsidR="00EC35AC" w:rsidRPr="00CD3420" w:rsidRDefault="00EC35AC" w:rsidP="00EC35AC">
            <w:pPr>
              <w:rPr>
                <w:lang w:eastAsia="el-GR"/>
              </w:rPr>
            </w:pPr>
            <w:r w:rsidRPr="00CD3420">
              <w:rPr>
                <w:lang w:eastAsia="el-GR"/>
              </w:rPr>
              <w:t>15,51</w:t>
            </w:r>
          </w:p>
        </w:tc>
      </w:tr>
      <w:tr w:rsidR="00EC35AC" w:rsidRPr="00CD3420" w14:paraId="759FF855" w14:textId="77777777" w:rsidTr="00EC35AC">
        <w:trPr>
          <w:trHeight w:hRule="exact" w:val="269"/>
          <w:jc w:val="center"/>
        </w:trPr>
        <w:tc>
          <w:tcPr>
            <w:tcW w:w="2452" w:type="dxa"/>
            <w:tcBorders>
              <w:top w:val="nil"/>
              <w:left w:val="nil"/>
              <w:bottom w:val="nil"/>
              <w:right w:val="nil"/>
            </w:tcBorders>
            <w:vAlign w:val="center"/>
          </w:tcPr>
          <w:p w14:paraId="40E12ED9" w14:textId="77777777" w:rsidR="00EC35AC" w:rsidRPr="00CD3420" w:rsidRDefault="00EC35AC" w:rsidP="00EC35AC">
            <w:pPr>
              <w:rPr>
                <w:lang w:eastAsia="el-GR"/>
              </w:rPr>
            </w:pPr>
            <w:r w:rsidRPr="00CD3420">
              <w:rPr>
                <w:lang w:eastAsia="el-GR"/>
              </w:rPr>
              <w:t>Τυπική απόκλιση</w:t>
            </w:r>
          </w:p>
        </w:tc>
        <w:tc>
          <w:tcPr>
            <w:tcW w:w="1701" w:type="dxa"/>
            <w:tcBorders>
              <w:top w:val="nil"/>
              <w:left w:val="nil"/>
              <w:bottom w:val="nil"/>
              <w:right w:val="nil"/>
            </w:tcBorders>
            <w:vAlign w:val="center"/>
          </w:tcPr>
          <w:p w14:paraId="19CF0550" w14:textId="77777777" w:rsidR="00EC35AC" w:rsidRPr="00CD3420" w:rsidRDefault="00EC35AC" w:rsidP="00EC35AC">
            <w:pPr>
              <w:rPr>
                <w:lang w:eastAsia="el-GR"/>
              </w:rPr>
            </w:pPr>
            <w:r w:rsidRPr="00CD3420">
              <w:rPr>
                <w:lang w:eastAsia="el-GR"/>
              </w:rPr>
              <w:t>0,77</w:t>
            </w:r>
          </w:p>
        </w:tc>
        <w:tc>
          <w:tcPr>
            <w:tcW w:w="1968" w:type="dxa"/>
            <w:tcBorders>
              <w:top w:val="nil"/>
              <w:left w:val="nil"/>
              <w:bottom w:val="nil"/>
              <w:right w:val="nil"/>
            </w:tcBorders>
            <w:vAlign w:val="center"/>
          </w:tcPr>
          <w:p w14:paraId="360B96AB" w14:textId="77777777" w:rsidR="00EC35AC" w:rsidRPr="00CD3420" w:rsidRDefault="00EC35AC" w:rsidP="00EC35AC">
            <w:pPr>
              <w:rPr>
                <w:lang w:eastAsia="el-GR"/>
              </w:rPr>
            </w:pPr>
            <w:r w:rsidRPr="00CD3420">
              <w:rPr>
                <w:lang w:eastAsia="el-GR"/>
              </w:rPr>
              <w:t>2,76</w:t>
            </w:r>
          </w:p>
        </w:tc>
      </w:tr>
      <w:tr w:rsidR="00EC35AC" w:rsidRPr="00CD3420" w14:paraId="1DDC5746" w14:textId="77777777" w:rsidTr="00EC35AC">
        <w:trPr>
          <w:trHeight w:hRule="exact" w:val="286"/>
          <w:jc w:val="center"/>
        </w:trPr>
        <w:tc>
          <w:tcPr>
            <w:tcW w:w="2452" w:type="dxa"/>
            <w:tcBorders>
              <w:top w:val="nil"/>
              <w:left w:val="nil"/>
              <w:bottom w:val="nil"/>
              <w:right w:val="nil"/>
            </w:tcBorders>
            <w:vAlign w:val="center"/>
          </w:tcPr>
          <w:p w14:paraId="1506C965" w14:textId="77777777" w:rsidR="00EC35AC" w:rsidRPr="00CD3420" w:rsidRDefault="00EC35AC" w:rsidP="00EC35AC">
            <w:pPr>
              <w:rPr>
                <w:lang w:eastAsia="el-GR"/>
              </w:rPr>
            </w:pPr>
            <w:r w:rsidRPr="00CD3420">
              <w:rPr>
                <w:lang w:eastAsia="el-GR"/>
              </w:rPr>
              <w:t>Ελάχιστη τιμή</w:t>
            </w:r>
          </w:p>
        </w:tc>
        <w:tc>
          <w:tcPr>
            <w:tcW w:w="1701" w:type="dxa"/>
            <w:tcBorders>
              <w:top w:val="nil"/>
              <w:left w:val="nil"/>
              <w:bottom w:val="nil"/>
              <w:right w:val="nil"/>
            </w:tcBorders>
            <w:vAlign w:val="center"/>
          </w:tcPr>
          <w:p w14:paraId="4068EC8D" w14:textId="77777777" w:rsidR="00EC35AC" w:rsidRPr="00CD3420" w:rsidRDefault="00EC35AC" w:rsidP="00EC35AC">
            <w:pPr>
              <w:rPr>
                <w:lang w:eastAsia="el-GR"/>
              </w:rPr>
            </w:pPr>
            <w:r w:rsidRPr="00CD3420">
              <w:rPr>
                <w:lang w:eastAsia="el-GR"/>
              </w:rPr>
              <w:t>6,25</w:t>
            </w:r>
          </w:p>
        </w:tc>
        <w:tc>
          <w:tcPr>
            <w:tcW w:w="1968" w:type="dxa"/>
            <w:tcBorders>
              <w:top w:val="nil"/>
              <w:left w:val="nil"/>
              <w:bottom w:val="nil"/>
              <w:right w:val="nil"/>
            </w:tcBorders>
            <w:vAlign w:val="center"/>
          </w:tcPr>
          <w:p w14:paraId="1447B44B" w14:textId="77777777" w:rsidR="00EC35AC" w:rsidRPr="00CD3420" w:rsidRDefault="00EC35AC" w:rsidP="00EC35AC">
            <w:pPr>
              <w:rPr>
                <w:lang w:eastAsia="el-GR"/>
              </w:rPr>
            </w:pPr>
            <w:r w:rsidRPr="00CD3420">
              <w:rPr>
                <w:lang w:eastAsia="el-GR"/>
              </w:rPr>
              <w:t>9</w:t>
            </w:r>
          </w:p>
        </w:tc>
      </w:tr>
      <w:tr w:rsidR="00EC35AC" w:rsidRPr="00CD3420" w14:paraId="54488347" w14:textId="77777777" w:rsidTr="00EC35AC">
        <w:trPr>
          <w:trHeight w:hRule="exact" w:val="389"/>
          <w:jc w:val="center"/>
        </w:trPr>
        <w:tc>
          <w:tcPr>
            <w:tcW w:w="2452" w:type="dxa"/>
            <w:tcBorders>
              <w:top w:val="nil"/>
              <w:left w:val="nil"/>
              <w:right w:val="nil"/>
            </w:tcBorders>
            <w:vAlign w:val="center"/>
          </w:tcPr>
          <w:p w14:paraId="290CCA7C" w14:textId="77777777" w:rsidR="00EC35AC" w:rsidRPr="00CD3420" w:rsidRDefault="00EC35AC" w:rsidP="00EC35AC">
            <w:pPr>
              <w:rPr>
                <w:lang w:eastAsia="el-GR"/>
              </w:rPr>
            </w:pPr>
            <w:r w:rsidRPr="00CD3420">
              <w:rPr>
                <w:lang w:eastAsia="el-GR"/>
              </w:rPr>
              <w:t>Μέγιστη τιμή</w:t>
            </w:r>
          </w:p>
        </w:tc>
        <w:tc>
          <w:tcPr>
            <w:tcW w:w="1701" w:type="dxa"/>
            <w:tcBorders>
              <w:top w:val="nil"/>
              <w:left w:val="nil"/>
              <w:right w:val="nil"/>
            </w:tcBorders>
            <w:vAlign w:val="center"/>
          </w:tcPr>
          <w:p w14:paraId="6AC0B768" w14:textId="77777777" w:rsidR="00EC35AC" w:rsidRPr="00CD3420" w:rsidRDefault="00EC35AC" w:rsidP="00EC35AC">
            <w:pPr>
              <w:rPr>
                <w:lang w:eastAsia="el-GR"/>
              </w:rPr>
            </w:pPr>
            <w:r w:rsidRPr="00CD3420">
              <w:rPr>
                <w:lang w:eastAsia="el-GR"/>
              </w:rPr>
              <w:t>10</w:t>
            </w:r>
          </w:p>
        </w:tc>
        <w:tc>
          <w:tcPr>
            <w:tcW w:w="1968" w:type="dxa"/>
            <w:tcBorders>
              <w:top w:val="nil"/>
              <w:left w:val="nil"/>
              <w:right w:val="nil"/>
            </w:tcBorders>
            <w:vAlign w:val="center"/>
          </w:tcPr>
          <w:p w14:paraId="7E49121B" w14:textId="77777777" w:rsidR="00EC35AC" w:rsidRPr="00CD3420" w:rsidRDefault="00EC35AC" w:rsidP="00EC35AC">
            <w:pPr>
              <w:rPr>
                <w:lang w:eastAsia="el-GR"/>
              </w:rPr>
            </w:pPr>
            <w:r w:rsidRPr="00CD3420">
              <w:rPr>
                <w:lang w:eastAsia="el-GR"/>
              </w:rPr>
              <w:t>19,8</w:t>
            </w:r>
          </w:p>
        </w:tc>
      </w:tr>
    </w:tbl>
    <w:bookmarkEnd w:id="4"/>
    <w:p w14:paraId="7CE1232A" w14:textId="77777777" w:rsidR="00EC35AC" w:rsidRPr="00C30844" w:rsidRDefault="00EC35AC" w:rsidP="00C30844">
      <w:pPr>
        <w:pStyle w:val="92"/>
      </w:pPr>
      <w:r w:rsidRPr="00C30844">
        <w:t>Νοημοσύνη</w:t>
      </w:r>
    </w:p>
    <w:p w14:paraId="640F036F" w14:textId="77777777" w:rsidR="00EC35AC" w:rsidRDefault="00EC35AC" w:rsidP="007136D3">
      <w:pPr>
        <w:pStyle w:val="8"/>
        <w:rPr>
          <w:lang w:eastAsia="el-GR"/>
        </w:rPr>
      </w:pPr>
      <w:r>
        <w:rPr>
          <w:lang w:eastAsia="el-GR"/>
        </w:rPr>
        <w:t xml:space="preserve">Το νοητικό δυναμικό των μαθητών αξιολογήθηκε με τη χορήγηση των 60 μη λεκτικών δοκιμασιών των Προοδευτικών Μητρών του </w:t>
      </w:r>
      <w:r>
        <w:rPr>
          <w:lang w:val="en-US" w:eastAsia="el-GR"/>
        </w:rPr>
        <w:t>Raven</w:t>
      </w:r>
      <w:r w:rsidRPr="001F40D8">
        <w:rPr>
          <w:lang w:eastAsia="el-GR"/>
        </w:rPr>
        <w:t xml:space="preserve"> (</w:t>
      </w:r>
      <w:r>
        <w:rPr>
          <w:lang w:val="en-US" w:eastAsia="el-GR"/>
        </w:rPr>
        <w:t>SPM</w:t>
      </w:r>
      <w:r w:rsidRPr="001F40D8">
        <w:rPr>
          <w:lang w:eastAsia="el-GR"/>
        </w:rPr>
        <w:t>)</w:t>
      </w:r>
      <w:r>
        <w:rPr>
          <w:lang w:eastAsia="el-GR"/>
        </w:rPr>
        <w:t>. Από την ανάλυση των αποτελεσμάτων διαπιστώθηκε μέση επίδοση 34,45 για τους μαθητές Δημοτικού και 43,34 για τους μαθητές Γυμνασίου (Πίνακας 4).</w:t>
      </w:r>
    </w:p>
    <w:p w14:paraId="2F0398DC" w14:textId="77777777" w:rsidR="007A3C4E" w:rsidRDefault="007A3C4E" w:rsidP="007136D3">
      <w:pPr>
        <w:pStyle w:val="8"/>
        <w:rPr>
          <w:lang w:eastAsia="el-GR"/>
        </w:rPr>
      </w:pPr>
    </w:p>
    <w:p w14:paraId="380BFA1A" w14:textId="77777777" w:rsidR="00EC35AC" w:rsidRPr="00E9752A" w:rsidRDefault="00EC35AC" w:rsidP="00EC35AC">
      <w:pPr>
        <w:rPr>
          <w:lang w:eastAsia="el-GR"/>
        </w:rPr>
      </w:pPr>
      <w:r w:rsidRPr="00E9752A">
        <w:rPr>
          <w:lang w:eastAsia="el-GR"/>
        </w:rPr>
        <w:t>Πίνακας 4.</w:t>
      </w:r>
    </w:p>
    <w:p w14:paraId="3E868A8B" w14:textId="77777777" w:rsidR="00EC35AC" w:rsidRPr="00E9752A" w:rsidRDefault="00EC35AC" w:rsidP="00EC35AC">
      <w:pPr>
        <w:rPr>
          <w:lang w:eastAsia="el-GR"/>
        </w:rPr>
      </w:pPr>
      <w:r w:rsidRPr="00E9752A">
        <w:rPr>
          <w:lang w:eastAsia="el-GR"/>
        </w:rPr>
        <w:t>Μέση επίδοση μαθητών Δημοτικού και Γυμνασίου στο τεστ νοημοσύνης</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1701"/>
        <w:gridCol w:w="1968"/>
      </w:tblGrid>
      <w:tr w:rsidR="00EC35AC" w:rsidRPr="00E9752A" w14:paraId="21B99317" w14:textId="77777777" w:rsidTr="00EC35AC">
        <w:trPr>
          <w:trHeight w:hRule="exact" w:val="343"/>
          <w:jc w:val="center"/>
        </w:trPr>
        <w:tc>
          <w:tcPr>
            <w:tcW w:w="2452" w:type="dxa"/>
            <w:tcBorders>
              <w:top w:val="single" w:sz="4" w:space="0" w:color="auto"/>
              <w:left w:val="nil"/>
              <w:bottom w:val="nil"/>
              <w:right w:val="nil"/>
            </w:tcBorders>
            <w:vAlign w:val="center"/>
          </w:tcPr>
          <w:p w14:paraId="4A7DBAD5" w14:textId="77777777" w:rsidR="00EC35AC" w:rsidRPr="00E9752A" w:rsidRDefault="00EC35AC" w:rsidP="00EC35AC">
            <w:pPr>
              <w:jc w:val="center"/>
              <w:rPr>
                <w:rFonts w:eastAsia="Calibri"/>
                <w:szCs w:val="24"/>
              </w:rPr>
            </w:pPr>
          </w:p>
        </w:tc>
        <w:tc>
          <w:tcPr>
            <w:tcW w:w="1701" w:type="dxa"/>
            <w:tcBorders>
              <w:top w:val="single" w:sz="4" w:space="0" w:color="auto"/>
              <w:left w:val="nil"/>
              <w:bottom w:val="single" w:sz="4" w:space="0" w:color="auto"/>
              <w:right w:val="nil"/>
            </w:tcBorders>
            <w:vAlign w:val="center"/>
          </w:tcPr>
          <w:p w14:paraId="54754A08" w14:textId="77777777" w:rsidR="00EC35AC" w:rsidRPr="00E9752A" w:rsidRDefault="00EC35AC" w:rsidP="00EC35AC">
            <w:pPr>
              <w:jc w:val="center"/>
              <w:rPr>
                <w:rFonts w:eastAsia="Calibri"/>
                <w:b/>
                <w:szCs w:val="24"/>
              </w:rPr>
            </w:pPr>
            <w:r w:rsidRPr="00E9752A">
              <w:rPr>
                <w:rFonts w:eastAsia="Calibri"/>
                <w:b/>
                <w:szCs w:val="24"/>
              </w:rPr>
              <w:t>Δημοτικό</w:t>
            </w:r>
          </w:p>
        </w:tc>
        <w:tc>
          <w:tcPr>
            <w:tcW w:w="1968" w:type="dxa"/>
            <w:tcBorders>
              <w:top w:val="single" w:sz="4" w:space="0" w:color="auto"/>
              <w:left w:val="nil"/>
              <w:bottom w:val="single" w:sz="4" w:space="0" w:color="auto"/>
              <w:right w:val="nil"/>
            </w:tcBorders>
            <w:vAlign w:val="center"/>
          </w:tcPr>
          <w:p w14:paraId="32A5E7C7" w14:textId="77777777" w:rsidR="00EC35AC" w:rsidRPr="00E9752A" w:rsidRDefault="00EC35AC" w:rsidP="00EC35AC">
            <w:pPr>
              <w:jc w:val="center"/>
              <w:rPr>
                <w:b/>
                <w:szCs w:val="24"/>
              </w:rPr>
            </w:pPr>
            <w:r w:rsidRPr="00E9752A">
              <w:rPr>
                <w:b/>
                <w:szCs w:val="24"/>
              </w:rPr>
              <w:t>Γυμνάσιο</w:t>
            </w:r>
          </w:p>
        </w:tc>
      </w:tr>
      <w:tr w:rsidR="00EC35AC" w:rsidRPr="00E9752A" w14:paraId="13F9F1AF" w14:textId="77777777" w:rsidTr="00EC35AC">
        <w:trPr>
          <w:trHeight w:hRule="exact" w:val="294"/>
          <w:jc w:val="center"/>
        </w:trPr>
        <w:tc>
          <w:tcPr>
            <w:tcW w:w="2452" w:type="dxa"/>
            <w:tcBorders>
              <w:top w:val="nil"/>
              <w:left w:val="nil"/>
              <w:bottom w:val="nil"/>
              <w:right w:val="nil"/>
            </w:tcBorders>
            <w:vAlign w:val="center"/>
          </w:tcPr>
          <w:p w14:paraId="674C8C01" w14:textId="77777777" w:rsidR="00EC35AC" w:rsidRPr="00E9752A" w:rsidRDefault="00EC35AC" w:rsidP="00EC35AC">
            <w:pPr>
              <w:rPr>
                <w:rFonts w:eastAsia="Calibri"/>
                <w:szCs w:val="24"/>
              </w:rPr>
            </w:pPr>
            <w:r w:rsidRPr="00E9752A">
              <w:rPr>
                <w:rFonts w:eastAsia="Calibri"/>
                <w:szCs w:val="24"/>
              </w:rPr>
              <w:t>Μέση τιμή</w:t>
            </w:r>
          </w:p>
        </w:tc>
        <w:tc>
          <w:tcPr>
            <w:tcW w:w="1701" w:type="dxa"/>
            <w:tcBorders>
              <w:top w:val="single" w:sz="4" w:space="0" w:color="auto"/>
              <w:left w:val="nil"/>
              <w:bottom w:val="nil"/>
              <w:right w:val="nil"/>
            </w:tcBorders>
            <w:vAlign w:val="center"/>
          </w:tcPr>
          <w:p w14:paraId="7EA3FA78" w14:textId="77777777" w:rsidR="00EC35AC" w:rsidRPr="00E9752A" w:rsidRDefault="00EC35AC" w:rsidP="00EC35AC">
            <w:pPr>
              <w:jc w:val="center"/>
              <w:rPr>
                <w:rFonts w:eastAsia="Calibri"/>
                <w:szCs w:val="24"/>
              </w:rPr>
            </w:pPr>
            <w:r w:rsidRPr="00E9752A">
              <w:rPr>
                <w:rFonts w:eastAsia="Calibri"/>
                <w:szCs w:val="24"/>
              </w:rPr>
              <w:t>34,45</w:t>
            </w:r>
          </w:p>
        </w:tc>
        <w:tc>
          <w:tcPr>
            <w:tcW w:w="1968" w:type="dxa"/>
            <w:tcBorders>
              <w:top w:val="single" w:sz="4" w:space="0" w:color="auto"/>
              <w:left w:val="nil"/>
              <w:bottom w:val="nil"/>
              <w:right w:val="nil"/>
            </w:tcBorders>
            <w:vAlign w:val="center"/>
          </w:tcPr>
          <w:p w14:paraId="73CCD450" w14:textId="77777777" w:rsidR="00EC35AC" w:rsidRPr="00E9752A" w:rsidRDefault="00EC35AC" w:rsidP="00EC35AC">
            <w:pPr>
              <w:jc w:val="center"/>
              <w:rPr>
                <w:szCs w:val="24"/>
              </w:rPr>
            </w:pPr>
            <w:r w:rsidRPr="00E9752A">
              <w:rPr>
                <w:szCs w:val="24"/>
              </w:rPr>
              <w:t>43,34</w:t>
            </w:r>
          </w:p>
        </w:tc>
      </w:tr>
      <w:tr w:rsidR="00EC35AC" w:rsidRPr="00E9752A" w14:paraId="5114C668" w14:textId="77777777" w:rsidTr="00EC35AC">
        <w:trPr>
          <w:trHeight w:hRule="exact" w:val="273"/>
          <w:jc w:val="center"/>
        </w:trPr>
        <w:tc>
          <w:tcPr>
            <w:tcW w:w="2452" w:type="dxa"/>
            <w:tcBorders>
              <w:top w:val="nil"/>
              <w:left w:val="nil"/>
              <w:bottom w:val="nil"/>
              <w:right w:val="nil"/>
            </w:tcBorders>
            <w:vAlign w:val="center"/>
          </w:tcPr>
          <w:p w14:paraId="76B97A59" w14:textId="77777777" w:rsidR="00EC35AC" w:rsidRPr="00E9752A" w:rsidRDefault="00EC35AC" w:rsidP="00EC35AC">
            <w:pPr>
              <w:rPr>
                <w:rFonts w:eastAsia="Calibri"/>
                <w:szCs w:val="24"/>
              </w:rPr>
            </w:pPr>
            <w:r w:rsidRPr="00E9752A">
              <w:rPr>
                <w:rFonts w:eastAsia="Calibri"/>
                <w:szCs w:val="24"/>
              </w:rPr>
              <w:t>Τυπική απόκλιση</w:t>
            </w:r>
          </w:p>
        </w:tc>
        <w:tc>
          <w:tcPr>
            <w:tcW w:w="1701" w:type="dxa"/>
            <w:tcBorders>
              <w:top w:val="nil"/>
              <w:left w:val="nil"/>
              <w:bottom w:val="nil"/>
              <w:right w:val="nil"/>
            </w:tcBorders>
            <w:vAlign w:val="center"/>
          </w:tcPr>
          <w:p w14:paraId="449795E1" w14:textId="77777777" w:rsidR="00EC35AC" w:rsidRPr="00E9752A" w:rsidRDefault="00EC35AC" w:rsidP="00EC35AC">
            <w:pPr>
              <w:jc w:val="center"/>
              <w:rPr>
                <w:rFonts w:eastAsia="Calibri"/>
                <w:szCs w:val="24"/>
              </w:rPr>
            </w:pPr>
            <w:r w:rsidRPr="00E9752A">
              <w:rPr>
                <w:rFonts w:eastAsia="Calibri"/>
                <w:szCs w:val="24"/>
              </w:rPr>
              <w:t>9,47</w:t>
            </w:r>
          </w:p>
        </w:tc>
        <w:tc>
          <w:tcPr>
            <w:tcW w:w="1968" w:type="dxa"/>
            <w:tcBorders>
              <w:top w:val="nil"/>
              <w:left w:val="nil"/>
              <w:bottom w:val="nil"/>
              <w:right w:val="nil"/>
            </w:tcBorders>
            <w:vAlign w:val="center"/>
          </w:tcPr>
          <w:p w14:paraId="065DA1CC" w14:textId="77777777" w:rsidR="00EC35AC" w:rsidRPr="00E9752A" w:rsidRDefault="00EC35AC" w:rsidP="00EC35AC">
            <w:pPr>
              <w:jc w:val="center"/>
              <w:rPr>
                <w:szCs w:val="24"/>
              </w:rPr>
            </w:pPr>
            <w:r w:rsidRPr="00E9752A">
              <w:rPr>
                <w:szCs w:val="24"/>
              </w:rPr>
              <w:t>7,67</w:t>
            </w:r>
          </w:p>
        </w:tc>
      </w:tr>
      <w:tr w:rsidR="00EC35AC" w:rsidRPr="00E9752A" w14:paraId="2C5C6CFB" w14:textId="77777777" w:rsidTr="00EC35AC">
        <w:trPr>
          <w:trHeight w:hRule="exact" w:val="278"/>
          <w:jc w:val="center"/>
        </w:trPr>
        <w:tc>
          <w:tcPr>
            <w:tcW w:w="2452" w:type="dxa"/>
            <w:tcBorders>
              <w:top w:val="nil"/>
              <w:left w:val="nil"/>
              <w:bottom w:val="nil"/>
              <w:right w:val="nil"/>
            </w:tcBorders>
            <w:vAlign w:val="center"/>
          </w:tcPr>
          <w:p w14:paraId="250C5F92" w14:textId="77777777" w:rsidR="00EC35AC" w:rsidRPr="00E9752A" w:rsidRDefault="00EC35AC" w:rsidP="00EC35AC">
            <w:pPr>
              <w:rPr>
                <w:rFonts w:eastAsia="Calibri"/>
                <w:szCs w:val="24"/>
              </w:rPr>
            </w:pPr>
            <w:r w:rsidRPr="00E9752A">
              <w:rPr>
                <w:rFonts w:eastAsia="Calibri"/>
                <w:szCs w:val="24"/>
              </w:rPr>
              <w:t>Ελάχιστη τιμή</w:t>
            </w:r>
          </w:p>
        </w:tc>
        <w:tc>
          <w:tcPr>
            <w:tcW w:w="1701" w:type="dxa"/>
            <w:tcBorders>
              <w:top w:val="nil"/>
              <w:left w:val="nil"/>
              <w:bottom w:val="nil"/>
              <w:right w:val="nil"/>
            </w:tcBorders>
            <w:vAlign w:val="center"/>
          </w:tcPr>
          <w:p w14:paraId="66BB2B12" w14:textId="77777777" w:rsidR="00EC35AC" w:rsidRPr="00E9752A" w:rsidRDefault="00EC35AC" w:rsidP="00EC35AC">
            <w:pPr>
              <w:jc w:val="center"/>
              <w:rPr>
                <w:rFonts w:eastAsia="Calibri"/>
                <w:szCs w:val="24"/>
              </w:rPr>
            </w:pPr>
            <w:r w:rsidRPr="00E9752A">
              <w:rPr>
                <w:rFonts w:eastAsia="Calibri"/>
                <w:szCs w:val="24"/>
              </w:rPr>
              <w:t>1</w:t>
            </w:r>
          </w:p>
        </w:tc>
        <w:tc>
          <w:tcPr>
            <w:tcW w:w="1968" w:type="dxa"/>
            <w:tcBorders>
              <w:top w:val="nil"/>
              <w:left w:val="nil"/>
              <w:bottom w:val="nil"/>
              <w:right w:val="nil"/>
            </w:tcBorders>
            <w:vAlign w:val="center"/>
          </w:tcPr>
          <w:p w14:paraId="357032DF" w14:textId="77777777" w:rsidR="00EC35AC" w:rsidRPr="00E9752A" w:rsidRDefault="00EC35AC" w:rsidP="00EC35AC">
            <w:pPr>
              <w:jc w:val="center"/>
              <w:rPr>
                <w:szCs w:val="24"/>
              </w:rPr>
            </w:pPr>
            <w:r w:rsidRPr="00E9752A">
              <w:rPr>
                <w:szCs w:val="24"/>
              </w:rPr>
              <w:t>19</w:t>
            </w:r>
          </w:p>
        </w:tc>
      </w:tr>
      <w:tr w:rsidR="00EC35AC" w:rsidRPr="00E9752A" w14:paraId="1AEF7C74" w14:textId="77777777" w:rsidTr="00EC35AC">
        <w:trPr>
          <w:trHeight w:hRule="exact" w:val="281"/>
          <w:jc w:val="center"/>
        </w:trPr>
        <w:tc>
          <w:tcPr>
            <w:tcW w:w="2452" w:type="dxa"/>
            <w:tcBorders>
              <w:top w:val="nil"/>
              <w:left w:val="nil"/>
              <w:right w:val="nil"/>
            </w:tcBorders>
            <w:vAlign w:val="center"/>
          </w:tcPr>
          <w:p w14:paraId="70CD9619" w14:textId="77777777" w:rsidR="00EC35AC" w:rsidRPr="00E9752A" w:rsidRDefault="00EC35AC" w:rsidP="00EC35AC">
            <w:pPr>
              <w:rPr>
                <w:rFonts w:eastAsia="Calibri"/>
                <w:szCs w:val="24"/>
              </w:rPr>
            </w:pPr>
            <w:r w:rsidRPr="00E9752A">
              <w:rPr>
                <w:rFonts w:eastAsia="Calibri"/>
                <w:szCs w:val="24"/>
              </w:rPr>
              <w:t>Μέγιστη τιμή</w:t>
            </w:r>
          </w:p>
        </w:tc>
        <w:tc>
          <w:tcPr>
            <w:tcW w:w="1701" w:type="dxa"/>
            <w:tcBorders>
              <w:top w:val="nil"/>
              <w:left w:val="nil"/>
              <w:right w:val="nil"/>
            </w:tcBorders>
            <w:vAlign w:val="center"/>
          </w:tcPr>
          <w:p w14:paraId="1A0430C6" w14:textId="77777777" w:rsidR="00EC35AC" w:rsidRPr="00E9752A" w:rsidRDefault="00EC35AC" w:rsidP="00EC35AC">
            <w:pPr>
              <w:jc w:val="center"/>
              <w:rPr>
                <w:rFonts w:eastAsia="Calibri"/>
                <w:szCs w:val="24"/>
              </w:rPr>
            </w:pPr>
            <w:r w:rsidRPr="00E9752A">
              <w:rPr>
                <w:rFonts w:eastAsia="Calibri"/>
                <w:szCs w:val="24"/>
              </w:rPr>
              <w:t>54</w:t>
            </w:r>
          </w:p>
        </w:tc>
        <w:tc>
          <w:tcPr>
            <w:tcW w:w="1968" w:type="dxa"/>
            <w:tcBorders>
              <w:top w:val="nil"/>
              <w:left w:val="nil"/>
              <w:right w:val="nil"/>
            </w:tcBorders>
            <w:vAlign w:val="center"/>
          </w:tcPr>
          <w:p w14:paraId="2DCFE0CA" w14:textId="77777777" w:rsidR="00EC35AC" w:rsidRPr="00E9752A" w:rsidRDefault="00EC35AC" w:rsidP="00EC35AC">
            <w:pPr>
              <w:jc w:val="center"/>
              <w:rPr>
                <w:szCs w:val="24"/>
              </w:rPr>
            </w:pPr>
            <w:r w:rsidRPr="00E9752A">
              <w:rPr>
                <w:szCs w:val="24"/>
              </w:rPr>
              <w:t>59</w:t>
            </w:r>
          </w:p>
        </w:tc>
      </w:tr>
    </w:tbl>
    <w:p w14:paraId="70862429" w14:textId="77777777" w:rsidR="00EC35AC" w:rsidRPr="00E9752A" w:rsidRDefault="00EC35AC" w:rsidP="00EC35AC">
      <w:pPr>
        <w:pStyle w:val="92"/>
        <w:rPr>
          <w:lang w:eastAsia="el-GR"/>
        </w:rPr>
      </w:pPr>
      <w:r>
        <w:rPr>
          <w:lang w:eastAsia="el-GR"/>
        </w:rPr>
        <w:lastRenderedPageBreak/>
        <w:t>Νοημοσύνη κι ακαδημαϊκή επίδοση κατά φύλο και εθνικότητα</w:t>
      </w:r>
    </w:p>
    <w:p w14:paraId="652637AC" w14:textId="77777777" w:rsidR="00EC35AC" w:rsidRDefault="00EC35AC" w:rsidP="007136D3">
      <w:pPr>
        <w:pStyle w:val="8"/>
        <w:rPr>
          <w:lang w:eastAsia="el-GR"/>
        </w:rPr>
      </w:pPr>
      <w:r>
        <w:rPr>
          <w:lang w:eastAsia="el-GR"/>
        </w:rPr>
        <w:t xml:space="preserve">Για την καλύτερη κατανόηση των αποτελεσμάτων και την αποφυγή σύγχυσης λόγω των διαφορετικών κλιμάκων μέτρησης της ακαδημαϊκής και της νοητικής επίδοσης, τα δεδομένα των δύο μεταβλητών μετατράπηκαν σε τιμές </w:t>
      </w:r>
      <w:r>
        <w:rPr>
          <w:lang w:val="en-US" w:eastAsia="el-GR"/>
        </w:rPr>
        <w:t>z</w:t>
      </w:r>
      <w:r>
        <w:rPr>
          <w:lang w:eastAsia="el-GR"/>
        </w:rPr>
        <w:t>με μέση τιμή το 100 και τυπική απόκλιση 15.</w:t>
      </w:r>
    </w:p>
    <w:p w14:paraId="0632A837" w14:textId="77777777" w:rsidR="00EC35AC" w:rsidRPr="00754217" w:rsidRDefault="00EC35AC" w:rsidP="007136D3">
      <w:pPr>
        <w:pStyle w:val="8"/>
        <w:rPr>
          <w:lang w:eastAsia="el-GR"/>
        </w:rPr>
      </w:pPr>
      <w:r>
        <w:rPr>
          <w:lang w:eastAsia="el-GR"/>
        </w:rPr>
        <w:t xml:space="preserve">Στη συνέχεια πραγματοποιήθηκε </w:t>
      </w:r>
      <w:proofErr w:type="spellStart"/>
      <w:r>
        <w:rPr>
          <w:lang w:eastAsia="el-GR"/>
        </w:rPr>
        <w:t>μονοπαραγοντική</w:t>
      </w:r>
      <w:proofErr w:type="spellEnd"/>
      <w:r>
        <w:rPr>
          <w:lang w:eastAsia="el-GR"/>
        </w:rPr>
        <w:t xml:space="preserve"> </w:t>
      </w:r>
      <w:proofErr w:type="spellStart"/>
      <w:r>
        <w:rPr>
          <w:lang w:eastAsia="el-GR"/>
        </w:rPr>
        <w:t>αναλύση</w:t>
      </w:r>
      <w:proofErr w:type="spellEnd"/>
      <w:r>
        <w:rPr>
          <w:lang w:eastAsia="el-GR"/>
        </w:rPr>
        <w:t xml:space="preserve"> διακύμανσης (</w:t>
      </w:r>
      <w:r>
        <w:rPr>
          <w:lang w:val="en-US" w:eastAsia="el-GR"/>
        </w:rPr>
        <w:t>One</w:t>
      </w:r>
      <w:r w:rsidRPr="00754217">
        <w:rPr>
          <w:lang w:eastAsia="el-GR"/>
        </w:rPr>
        <w:t>-</w:t>
      </w:r>
      <w:r>
        <w:rPr>
          <w:lang w:val="en-US" w:eastAsia="el-GR"/>
        </w:rPr>
        <w:t>way</w:t>
      </w:r>
      <w:r>
        <w:rPr>
          <w:lang w:eastAsia="el-GR"/>
        </w:rPr>
        <w:t xml:space="preserve"> </w:t>
      </w:r>
      <w:r>
        <w:rPr>
          <w:lang w:val="en-US" w:eastAsia="el-GR"/>
        </w:rPr>
        <w:t>ANOVA</w:t>
      </w:r>
      <w:r w:rsidRPr="00754217">
        <w:rPr>
          <w:lang w:eastAsia="el-GR"/>
        </w:rPr>
        <w:t>)</w:t>
      </w:r>
      <w:r>
        <w:rPr>
          <w:lang w:eastAsia="el-GR"/>
        </w:rPr>
        <w:t xml:space="preserve"> για τη διερεύνηση τυχόν διαφορών στη διακύμανση των μέσων όρων των νοητικών και των ακαδημαϊκών επιδόσεων ανάλογα με το φύλο. Από την ανάλυση δεν προέκυψε στατιστικώς σημαντική διαφορά κατά </w:t>
      </w:r>
      <w:proofErr w:type="spellStart"/>
      <w:r>
        <w:rPr>
          <w:lang w:eastAsia="el-GR"/>
        </w:rPr>
        <w:t>φύλοούτε</w:t>
      </w:r>
      <w:proofErr w:type="spellEnd"/>
      <w:r>
        <w:rPr>
          <w:lang w:eastAsia="el-GR"/>
        </w:rPr>
        <w:t xml:space="preserve"> στη νοητική ικανότητα</w:t>
      </w:r>
      <w:r w:rsidRPr="00754217">
        <w:rPr>
          <w:lang w:eastAsia="el-GR"/>
        </w:rPr>
        <w:t>(</w:t>
      </w:r>
      <w:r w:rsidRPr="00754217">
        <w:rPr>
          <w:i/>
          <w:lang w:val="en-US" w:eastAsia="el-GR"/>
        </w:rPr>
        <w:t>F</w:t>
      </w:r>
      <w:r w:rsidRPr="00754217">
        <w:rPr>
          <w:lang w:eastAsia="el-GR"/>
        </w:rPr>
        <w:t>(1,</w:t>
      </w:r>
      <w:r>
        <w:rPr>
          <w:lang w:eastAsia="el-GR"/>
        </w:rPr>
        <w:t xml:space="preserve">229) = 0,38, </w:t>
      </w:r>
      <w:r w:rsidRPr="00754217">
        <w:rPr>
          <w:i/>
          <w:lang w:val="en-US" w:eastAsia="el-GR"/>
        </w:rPr>
        <w:t>p</w:t>
      </w:r>
      <w:r w:rsidRPr="00754217">
        <w:rPr>
          <w:lang w:eastAsia="el-GR"/>
        </w:rPr>
        <w:t>&gt; 0,05)</w:t>
      </w:r>
      <w:r>
        <w:rPr>
          <w:lang w:eastAsia="el-GR"/>
        </w:rPr>
        <w:t xml:space="preserve">, ούτε στις ακαδημαϊκές επιδόσεις </w:t>
      </w:r>
      <w:r w:rsidRPr="00B63C3B">
        <w:rPr>
          <w:lang w:eastAsia="el-GR"/>
        </w:rPr>
        <w:t>(</w:t>
      </w:r>
      <w:r w:rsidRPr="00B63C3B">
        <w:rPr>
          <w:i/>
          <w:lang w:val="en-US" w:eastAsia="el-GR"/>
        </w:rPr>
        <w:t>F</w:t>
      </w:r>
      <w:r w:rsidRPr="00B63C3B">
        <w:rPr>
          <w:lang w:eastAsia="el-GR"/>
        </w:rPr>
        <w:t>(1,229) = 0,</w:t>
      </w:r>
      <w:r>
        <w:rPr>
          <w:lang w:eastAsia="el-GR"/>
        </w:rPr>
        <w:t xml:space="preserve">74, </w:t>
      </w:r>
      <w:r w:rsidRPr="00B63C3B">
        <w:rPr>
          <w:i/>
          <w:lang w:val="en-US" w:eastAsia="el-GR"/>
        </w:rPr>
        <w:t>p</w:t>
      </w:r>
      <w:r w:rsidRPr="00B63C3B">
        <w:rPr>
          <w:lang w:eastAsia="el-GR"/>
        </w:rPr>
        <w:t xml:space="preserve">&gt; 0,05) </w:t>
      </w:r>
      <w:r>
        <w:rPr>
          <w:lang w:eastAsia="el-GR"/>
        </w:rPr>
        <w:t>για τους μαθητές Δημοτικού.</w:t>
      </w:r>
    </w:p>
    <w:p w14:paraId="606BFA94" w14:textId="77777777" w:rsidR="00EC35AC" w:rsidRDefault="00EC35AC" w:rsidP="007136D3">
      <w:pPr>
        <w:pStyle w:val="8"/>
        <w:rPr>
          <w:lang w:eastAsia="el-GR"/>
        </w:rPr>
      </w:pPr>
      <w:r>
        <w:rPr>
          <w:lang w:eastAsia="el-GR"/>
        </w:rPr>
        <w:t>Όσον αφορά τους μαθητές Γυμνασίου, δεν διαπιστώθηκε σημαντική διαφορά στη νοητική ικανότητα μεταξύ αγοριών και κοριτσιών του δείγματος (</w:t>
      </w:r>
      <w:r w:rsidRPr="00B63C3B">
        <w:rPr>
          <w:i/>
          <w:lang w:val="en-US" w:eastAsia="el-GR"/>
        </w:rPr>
        <w:t>F</w:t>
      </w:r>
      <w:r w:rsidRPr="00B63C3B">
        <w:rPr>
          <w:lang w:eastAsia="el-GR"/>
        </w:rPr>
        <w:t>(1,</w:t>
      </w:r>
      <w:r>
        <w:rPr>
          <w:lang w:eastAsia="el-GR"/>
        </w:rPr>
        <w:t xml:space="preserve">295) = 0,09, </w:t>
      </w:r>
      <w:r w:rsidRPr="00B63C3B">
        <w:rPr>
          <w:i/>
          <w:lang w:val="en-US" w:eastAsia="el-GR"/>
        </w:rPr>
        <w:t>p</w:t>
      </w:r>
      <w:r w:rsidRPr="00B63C3B">
        <w:rPr>
          <w:lang w:eastAsia="el-GR"/>
        </w:rPr>
        <w:t>&gt; 0,05)</w:t>
      </w:r>
      <w:r>
        <w:rPr>
          <w:lang w:eastAsia="el-GR"/>
        </w:rPr>
        <w:t xml:space="preserve">. Παρόλα αυτά, παρατηρήθηκε στατιστικά σημαντική διαφορά στους μέσους όρους της ακαδημαϊκής επίδοσης ανάλογα με φύλο, με τα κορίτσια να τείνουν να πετυχαίνουν καλύτερες επιδόσεις, με </w:t>
      </w:r>
      <w:r w:rsidRPr="00B63C3B">
        <w:rPr>
          <w:i/>
          <w:lang w:val="en-US" w:eastAsia="el-GR"/>
        </w:rPr>
        <w:t>F</w:t>
      </w:r>
      <w:r w:rsidRPr="00B63C3B">
        <w:rPr>
          <w:lang w:eastAsia="el-GR"/>
        </w:rPr>
        <w:t xml:space="preserve">(1,295) = </w:t>
      </w:r>
      <w:r>
        <w:rPr>
          <w:lang w:eastAsia="el-GR"/>
        </w:rPr>
        <w:t xml:space="preserve">25,54, </w:t>
      </w:r>
      <w:r w:rsidRPr="00B63C3B">
        <w:rPr>
          <w:i/>
          <w:lang w:val="en-US" w:eastAsia="el-GR"/>
        </w:rPr>
        <w:t>p</w:t>
      </w:r>
      <w:r w:rsidRPr="00B63C3B">
        <w:rPr>
          <w:lang w:eastAsia="el-GR"/>
        </w:rPr>
        <w:t>&lt; 0,001.</w:t>
      </w:r>
    </w:p>
    <w:p w14:paraId="2978ED3D" w14:textId="77777777" w:rsidR="00EC35AC" w:rsidRPr="00A46521" w:rsidRDefault="00EC35AC" w:rsidP="007136D3">
      <w:pPr>
        <w:pStyle w:val="8"/>
        <w:rPr>
          <w:lang w:eastAsia="el-GR"/>
        </w:rPr>
      </w:pPr>
      <w:r>
        <w:rPr>
          <w:lang w:eastAsia="el-GR"/>
        </w:rPr>
        <w:t xml:space="preserve">Επιπλέον, η εφαρμογή </w:t>
      </w:r>
      <w:proofErr w:type="spellStart"/>
      <w:r>
        <w:rPr>
          <w:lang w:eastAsia="el-GR"/>
        </w:rPr>
        <w:t>μονοπαραγοντικών</w:t>
      </w:r>
      <w:proofErr w:type="spellEnd"/>
      <w:r>
        <w:rPr>
          <w:lang w:eastAsia="el-GR"/>
        </w:rPr>
        <w:t xml:space="preserve"> αναλύσεων διακύμανσης έδειξε την ύπαρξη στατιστικά σημαντικής διαφοράς στη διακύμανση της ακαδημαϊκής επίδοσης των μαθητών ανάλογα με την εθνικότητά τους, με τους ημεδαπούς μαθητές του δείγματος να σημειώνουν καλύτερες επιδόσεις σε σχέση με τους αλλοδαπούς συμμαθητές τους τόσο στο Δημοτικό (</w:t>
      </w:r>
      <w:r w:rsidRPr="00BD6651">
        <w:rPr>
          <w:i/>
          <w:lang w:val="en-US" w:eastAsia="el-GR"/>
        </w:rPr>
        <w:t>F</w:t>
      </w:r>
      <w:r w:rsidRPr="00BD6651">
        <w:rPr>
          <w:lang w:eastAsia="el-GR"/>
        </w:rPr>
        <w:t>(</w:t>
      </w:r>
      <w:r>
        <w:rPr>
          <w:lang w:eastAsia="el-GR"/>
        </w:rPr>
        <w:t xml:space="preserve">2,228) = 10,58, </w:t>
      </w:r>
      <w:r w:rsidRPr="00BD6651">
        <w:rPr>
          <w:i/>
          <w:lang w:val="en-US" w:eastAsia="el-GR"/>
        </w:rPr>
        <w:t>p</w:t>
      </w:r>
      <w:r>
        <w:rPr>
          <w:lang w:eastAsia="el-GR"/>
        </w:rPr>
        <w:t>&lt; 0,0</w:t>
      </w:r>
      <w:r w:rsidRPr="00BD6651">
        <w:rPr>
          <w:lang w:eastAsia="el-GR"/>
        </w:rPr>
        <w:t>01</w:t>
      </w:r>
      <w:r>
        <w:rPr>
          <w:lang w:eastAsia="el-GR"/>
        </w:rPr>
        <w:t>), όσο και στο Γυμνάσιο (</w:t>
      </w:r>
      <w:r w:rsidRPr="00A46521">
        <w:rPr>
          <w:i/>
          <w:lang w:val="en-US" w:eastAsia="el-GR"/>
        </w:rPr>
        <w:t>F</w:t>
      </w:r>
      <w:r w:rsidRPr="00A46521">
        <w:rPr>
          <w:lang w:eastAsia="el-GR"/>
        </w:rPr>
        <w:t xml:space="preserve">(2,294) = 32,67, </w:t>
      </w:r>
      <w:r w:rsidRPr="00A46521">
        <w:rPr>
          <w:i/>
          <w:lang w:val="en-US" w:eastAsia="el-GR"/>
        </w:rPr>
        <w:t>p</w:t>
      </w:r>
      <w:r w:rsidRPr="00A46521">
        <w:rPr>
          <w:lang w:eastAsia="el-GR"/>
        </w:rPr>
        <w:t>&lt; 0,001).</w:t>
      </w:r>
    </w:p>
    <w:p w14:paraId="1F31FF19" w14:textId="77777777" w:rsidR="0063614E" w:rsidRPr="00BC36A8" w:rsidRDefault="00EC35AC" w:rsidP="007136D3">
      <w:pPr>
        <w:pStyle w:val="8"/>
        <w:rPr>
          <w:lang w:eastAsia="el-GR"/>
        </w:rPr>
      </w:pPr>
      <w:r>
        <w:rPr>
          <w:lang w:eastAsia="el-GR"/>
        </w:rPr>
        <w:t xml:space="preserve">Αντίστοιχα αποτελέσματα παρατηρήθηκαν κατά τον έλεγχο τυχόν διαφορών στο νοητικό δυναμικό με βάση την εθνικότητα, με τους ημεδαπούς και τους αλλοδαπούς μαθητές του δείγματος να παρουσιάζουν στατιστικώς σημαντικές διαφορές στη διακύμανση των επιδόσεων τους στο τεστ </w:t>
      </w:r>
      <w:r>
        <w:rPr>
          <w:lang w:val="en-US" w:eastAsia="el-GR"/>
        </w:rPr>
        <w:t>Raven</w:t>
      </w:r>
      <w:r>
        <w:rPr>
          <w:lang w:eastAsia="el-GR"/>
        </w:rPr>
        <w:t xml:space="preserve"> στο Δημοτικό (</w:t>
      </w:r>
      <w:r w:rsidRPr="00A46521">
        <w:rPr>
          <w:i/>
          <w:lang w:val="en-US" w:eastAsia="el-GR"/>
        </w:rPr>
        <w:t>F</w:t>
      </w:r>
      <w:r w:rsidRPr="00A46521">
        <w:rPr>
          <w:lang w:eastAsia="el-GR"/>
        </w:rPr>
        <w:t xml:space="preserve">(2,228) = </w:t>
      </w:r>
      <w:r>
        <w:rPr>
          <w:lang w:eastAsia="el-GR"/>
        </w:rPr>
        <w:t xml:space="preserve">3,92, </w:t>
      </w:r>
      <w:r w:rsidRPr="00A46521">
        <w:rPr>
          <w:i/>
          <w:lang w:val="en-US" w:eastAsia="el-GR"/>
        </w:rPr>
        <w:t>p</w:t>
      </w:r>
      <w:r>
        <w:rPr>
          <w:lang w:eastAsia="el-GR"/>
        </w:rPr>
        <w:t>&lt; 0,05) και στο Γυμνάσιο (</w:t>
      </w:r>
      <w:r w:rsidRPr="00A46521">
        <w:rPr>
          <w:i/>
          <w:lang w:val="en-US" w:eastAsia="el-GR"/>
        </w:rPr>
        <w:t>F</w:t>
      </w:r>
      <w:r w:rsidRPr="00A46521">
        <w:rPr>
          <w:lang w:eastAsia="el-GR"/>
        </w:rPr>
        <w:t xml:space="preserve">(2,294) = </w:t>
      </w:r>
      <w:r>
        <w:rPr>
          <w:lang w:eastAsia="el-GR"/>
        </w:rPr>
        <w:t xml:space="preserve">8,03, </w:t>
      </w:r>
      <w:r w:rsidRPr="00A46521">
        <w:rPr>
          <w:i/>
          <w:lang w:val="en-US" w:eastAsia="el-GR"/>
        </w:rPr>
        <w:t>p</w:t>
      </w:r>
      <w:r w:rsidRPr="00A46521">
        <w:rPr>
          <w:lang w:eastAsia="el-GR"/>
        </w:rPr>
        <w:t>&lt; 0,001).</w:t>
      </w:r>
    </w:p>
    <w:p w14:paraId="5C1435ED" w14:textId="77777777" w:rsidR="00EC35AC" w:rsidRPr="00E9752A" w:rsidRDefault="00EC35AC" w:rsidP="00EC35AC">
      <w:pPr>
        <w:pStyle w:val="92"/>
        <w:rPr>
          <w:lang w:eastAsia="el-GR"/>
        </w:rPr>
      </w:pPr>
      <w:r>
        <w:rPr>
          <w:lang w:eastAsia="el-GR"/>
        </w:rPr>
        <w:t>Σχέση νοημοσύνης και ακαδημαϊκής επίδοσης</w:t>
      </w:r>
    </w:p>
    <w:p w14:paraId="0E65A8C1" w14:textId="77777777" w:rsidR="00EC35AC" w:rsidRPr="00FC0A25" w:rsidRDefault="00EC35AC" w:rsidP="007136D3">
      <w:pPr>
        <w:pStyle w:val="8"/>
        <w:rPr>
          <w:lang w:eastAsia="el-GR"/>
        </w:rPr>
      </w:pPr>
      <w:r>
        <w:rPr>
          <w:lang w:eastAsia="el-GR"/>
        </w:rPr>
        <w:t xml:space="preserve">Στη συνέχεια, για τη διερεύνηση της σχέσης ανάμεσα στη νοημοσύνη και την ακαδημαϊκή επίδοση πραγματοποιήθηκαν ξεχωριστές αναλύσεις συσχέτισης για κάθε δείγμα με βάση το δείκτη </w:t>
      </w:r>
      <w:r>
        <w:rPr>
          <w:lang w:val="en-US" w:eastAsia="el-GR"/>
        </w:rPr>
        <w:t>Pearson</w:t>
      </w:r>
      <w:r w:rsidRPr="001F40D8">
        <w:rPr>
          <w:lang w:eastAsia="el-GR"/>
        </w:rPr>
        <w:t>’</w:t>
      </w:r>
      <w:proofErr w:type="spellStart"/>
      <w:r>
        <w:rPr>
          <w:lang w:val="en-US" w:eastAsia="el-GR"/>
        </w:rPr>
        <w:t>s</w:t>
      </w:r>
      <w:r w:rsidRPr="001F40D8">
        <w:rPr>
          <w:i/>
          <w:lang w:val="en-US" w:eastAsia="el-GR"/>
        </w:rPr>
        <w:t>r</w:t>
      </w:r>
      <w:proofErr w:type="spellEnd"/>
      <w:r w:rsidRPr="001F40D8">
        <w:rPr>
          <w:lang w:eastAsia="el-GR"/>
        </w:rPr>
        <w:t xml:space="preserve">. </w:t>
      </w:r>
    </w:p>
    <w:p w14:paraId="6D07BDEA" w14:textId="77777777" w:rsidR="00EC35AC" w:rsidRDefault="00EC35AC" w:rsidP="007136D3">
      <w:pPr>
        <w:pStyle w:val="8"/>
        <w:rPr>
          <w:lang w:eastAsia="el-GR"/>
        </w:rPr>
      </w:pPr>
      <w:r>
        <w:rPr>
          <w:lang w:eastAsia="el-GR"/>
        </w:rPr>
        <w:t xml:space="preserve">Όσον αφορά το δείγμα των μαθητών Δημοτικού διαπιστώθηκε μέτρια, θετική και στατιστικά σημαντική σχέση </w:t>
      </w:r>
      <w:proofErr w:type="spellStart"/>
      <w:r>
        <w:rPr>
          <w:lang w:eastAsia="el-GR"/>
        </w:rPr>
        <w:t>ανάμέσα</w:t>
      </w:r>
      <w:proofErr w:type="spellEnd"/>
      <w:r>
        <w:rPr>
          <w:lang w:eastAsia="el-GR"/>
        </w:rPr>
        <w:t xml:space="preserve"> στις δύο μεταβλητές με </w:t>
      </w:r>
      <w:r w:rsidRPr="001F40D8">
        <w:rPr>
          <w:i/>
          <w:lang w:val="en-US" w:eastAsia="el-GR"/>
        </w:rPr>
        <w:t>r</w:t>
      </w:r>
      <w:r w:rsidRPr="001F40D8">
        <w:rPr>
          <w:lang w:eastAsia="el-GR"/>
        </w:rPr>
        <w:t xml:space="preserve"> = 0,37 (</w:t>
      </w:r>
      <w:r w:rsidRPr="001F40D8">
        <w:rPr>
          <w:i/>
          <w:lang w:val="en-US" w:eastAsia="el-GR"/>
        </w:rPr>
        <w:t>p</w:t>
      </w:r>
      <w:r w:rsidRPr="001F40D8">
        <w:rPr>
          <w:lang w:eastAsia="el-GR"/>
        </w:rPr>
        <w:t xml:space="preserve">&lt; 0,001). </w:t>
      </w:r>
      <w:r>
        <w:rPr>
          <w:lang w:eastAsia="el-GR"/>
        </w:rPr>
        <w:t xml:space="preserve">Αντίστοιχα, για τους μαθητές Γυμνασίου παρατηρήθηκε θετική και στατιστικά σημαντική σχέση μεταξύ νοητικής και ακαδημαϊκής επίδοσης, με </w:t>
      </w:r>
      <w:r w:rsidRPr="00FC0A25">
        <w:rPr>
          <w:i/>
          <w:lang w:val="en-US" w:eastAsia="el-GR"/>
        </w:rPr>
        <w:t>r</w:t>
      </w:r>
      <w:r w:rsidRPr="00FC0A25">
        <w:rPr>
          <w:lang w:eastAsia="el-GR"/>
        </w:rPr>
        <w:t xml:space="preserve"> = 0,46 (</w:t>
      </w:r>
      <w:r w:rsidRPr="00FC0A25">
        <w:rPr>
          <w:i/>
          <w:lang w:val="en-US" w:eastAsia="el-GR"/>
        </w:rPr>
        <w:t>p</w:t>
      </w:r>
      <w:r w:rsidRPr="00FC0A25">
        <w:rPr>
          <w:lang w:eastAsia="el-GR"/>
        </w:rPr>
        <w:t>&lt; 0,01)</w:t>
      </w:r>
      <w:r>
        <w:rPr>
          <w:lang w:eastAsia="el-GR"/>
        </w:rPr>
        <w:t>.</w:t>
      </w:r>
    </w:p>
    <w:p w14:paraId="5D0DB6FD" w14:textId="77777777" w:rsidR="00EC35AC" w:rsidRDefault="00EC35AC" w:rsidP="007136D3">
      <w:pPr>
        <w:pStyle w:val="8"/>
        <w:rPr>
          <w:lang w:eastAsia="el-GR"/>
        </w:rPr>
      </w:pPr>
      <w:r>
        <w:rPr>
          <w:lang w:eastAsia="el-GR"/>
        </w:rPr>
        <w:t xml:space="preserve">Ακολούθως, πραγματοποιήθηκε απλή γραμμική ανάλυση </w:t>
      </w:r>
      <w:proofErr w:type="spellStart"/>
      <w:r>
        <w:rPr>
          <w:lang w:eastAsia="el-GR"/>
        </w:rPr>
        <w:t>παλινδρόνησης</w:t>
      </w:r>
      <w:proofErr w:type="spellEnd"/>
      <w:r>
        <w:rPr>
          <w:lang w:eastAsia="el-GR"/>
        </w:rPr>
        <w:t xml:space="preserve"> προκειμένου να ελεγχθεί η πιθανή προβλεπτική ισχύς της νοητικής ικανότητας προς την ακαδημαϊκή επίδοση. Τα αποτελέσματα της ανάλυσης κατέδειξαν ότι η νοητική ικανότητα εξηγούσε το 13,4% της διακύμανσης της ακαδημαϊκής επίδοσης (</w:t>
      </w:r>
      <w:r w:rsidRPr="00543161">
        <w:rPr>
          <w:i/>
          <w:lang w:val="en-US" w:eastAsia="el-GR"/>
        </w:rPr>
        <w:t>R</w:t>
      </w:r>
      <w:r w:rsidRPr="00543161">
        <w:rPr>
          <w:i/>
          <w:vertAlign w:val="superscript"/>
          <w:lang w:eastAsia="el-GR"/>
        </w:rPr>
        <w:t>2</w:t>
      </w:r>
      <w:r w:rsidRPr="00543161">
        <w:rPr>
          <w:lang w:eastAsia="el-GR"/>
        </w:rPr>
        <w:t xml:space="preserve"> = 0,14, </w:t>
      </w:r>
      <w:r w:rsidRPr="00543161">
        <w:rPr>
          <w:i/>
          <w:lang w:val="en-US" w:eastAsia="el-GR"/>
        </w:rPr>
        <w:t>F</w:t>
      </w:r>
      <w:r w:rsidRPr="00543161">
        <w:rPr>
          <w:lang w:eastAsia="el-GR"/>
        </w:rPr>
        <w:t>(</w:t>
      </w:r>
      <w:r>
        <w:rPr>
          <w:lang w:eastAsia="el-GR"/>
        </w:rPr>
        <w:t xml:space="preserve">1,229) = 36,67, </w:t>
      </w:r>
      <w:r w:rsidRPr="00543161">
        <w:rPr>
          <w:i/>
          <w:lang w:val="en-US" w:eastAsia="el-GR"/>
        </w:rPr>
        <w:t>p</w:t>
      </w:r>
      <w:r>
        <w:rPr>
          <w:lang w:eastAsia="el-GR"/>
        </w:rPr>
        <w:t xml:space="preserve">&lt; 0,001) για τους μαθητές Δημοτικού. Αντίστοιχα, για τους εφήβους μαθητές του </w:t>
      </w:r>
      <w:proofErr w:type="spellStart"/>
      <w:r>
        <w:rPr>
          <w:lang w:eastAsia="el-GR"/>
        </w:rPr>
        <w:t>δέιγματος</w:t>
      </w:r>
      <w:proofErr w:type="spellEnd"/>
      <w:r>
        <w:rPr>
          <w:lang w:eastAsia="el-GR"/>
        </w:rPr>
        <w:t xml:space="preserve"> η νοητική ικανότητα βρέθηκε να εξηγεί το 21,2% της διακύμανσης στην ακαδημαϊκή επίδοση </w:t>
      </w:r>
      <w:r w:rsidRPr="00543161">
        <w:rPr>
          <w:lang w:eastAsia="el-GR"/>
        </w:rPr>
        <w:t>(</w:t>
      </w:r>
      <w:r w:rsidRPr="00543161">
        <w:rPr>
          <w:i/>
          <w:lang w:val="en-US" w:eastAsia="el-GR"/>
        </w:rPr>
        <w:t>R</w:t>
      </w:r>
      <w:r w:rsidRPr="00543161">
        <w:rPr>
          <w:i/>
          <w:vertAlign w:val="superscript"/>
          <w:lang w:eastAsia="el-GR"/>
        </w:rPr>
        <w:t>2</w:t>
      </w:r>
      <w:r>
        <w:rPr>
          <w:lang w:eastAsia="el-GR"/>
        </w:rPr>
        <w:t xml:space="preserve"> = 0,21</w:t>
      </w:r>
      <w:r w:rsidRPr="00543161">
        <w:rPr>
          <w:lang w:eastAsia="el-GR"/>
        </w:rPr>
        <w:t xml:space="preserve">, </w:t>
      </w:r>
      <w:r w:rsidRPr="00543161">
        <w:rPr>
          <w:i/>
          <w:lang w:val="en-US" w:eastAsia="el-GR"/>
        </w:rPr>
        <w:t>F</w:t>
      </w:r>
      <w:r w:rsidRPr="00543161">
        <w:rPr>
          <w:lang w:eastAsia="el-GR"/>
        </w:rPr>
        <w:t>(</w:t>
      </w:r>
      <w:r>
        <w:rPr>
          <w:lang w:eastAsia="el-GR"/>
        </w:rPr>
        <w:t>1,295) = 80,87</w:t>
      </w:r>
      <w:r w:rsidRPr="00543161">
        <w:rPr>
          <w:lang w:eastAsia="el-GR"/>
        </w:rPr>
        <w:t xml:space="preserve">, </w:t>
      </w:r>
      <w:r w:rsidRPr="00543161">
        <w:rPr>
          <w:i/>
          <w:lang w:val="en-US" w:eastAsia="el-GR"/>
        </w:rPr>
        <w:t>p</w:t>
      </w:r>
      <w:r w:rsidRPr="00543161">
        <w:rPr>
          <w:lang w:eastAsia="el-GR"/>
        </w:rPr>
        <w:t>&lt; 0,001)</w:t>
      </w:r>
      <w:r>
        <w:rPr>
          <w:lang w:eastAsia="el-GR"/>
        </w:rPr>
        <w:t>.</w:t>
      </w:r>
    </w:p>
    <w:p w14:paraId="7231E0D9" w14:textId="77777777" w:rsidR="00C30844" w:rsidRPr="00E9752A" w:rsidRDefault="00C30844" w:rsidP="007136D3">
      <w:pPr>
        <w:pStyle w:val="8"/>
        <w:rPr>
          <w:lang w:eastAsia="el-GR"/>
        </w:rPr>
      </w:pPr>
    </w:p>
    <w:p w14:paraId="7E8BD5F8" w14:textId="77777777" w:rsidR="00EC35AC" w:rsidRPr="00E9752A" w:rsidRDefault="00EC35AC" w:rsidP="00EC35AC">
      <w:pPr>
        <w:pStyle w:val="92"/>
        <w:rPr>
          <w:lang w:eastAsia="el-GR"/>
        </w:rPr>
      </w:pPr>
      <w:r>
        <w:rPr>
          <w:lang w:eastAsia="el-GR"/>
        </w:rPr>
        <w:lastRenderedPageBreak/>
        <w:t>Εντοπισμός μαθητών με μη αναμενόμενη ακαδημαϊκή επίδοση</w:t>
      </w:r>
    </w:p>
    <w:p w14:paraId="559C9616" w14:textId="77777777" w:rsidR="00EC35AC" w:rsidRDefault="00EC35AC" w:rsidP="007136D3">
      <w:pPr>
        <w:pStyle w:val="8"/>
        <w:rPr>
          <w:lang w:eastAsia="el-GR"/>
        </w:rPr>
      </w:pPr>
      <w:r>
        <w:rPr>
          <w:lang w:eastAsia="el-GR"/>
        </w:rPr>
        <w:t>Στη συνέχεια, μέσω της εφαρμογής γραμμικών αναλύσεων παλινδρόμησης εκτιμήθηκε η αναμενόμενη τιμή (</w:t>
      </w:r>
      <w:proofErr w:type="spellStart"/>
      <w:r>
        <w:rPr>
          <w:lang w:val="en-US" w:eastAsia="el-GR"/>
        </w:rPr>
        <w:t>predictedvalue</w:t>
      </w:r>
      <w:proofErr w:type="spellEnd"/>
      <w:r w:rsidRPr="003F7A6D">
        <w:rPr>
          <w:lang w:eastAsia="el-GR"/>
        </w:rPr>
        <w:t xml:space="preserve">) </w:t>
      </w:r>
      <w:r>
        <w:rPr>
          <w:lang w:eastAsia="el-GR"/>
        </w:rPr>
        <w:t>της ακαδημαϊκής επίδοσης για κάθε μαθητή με βάση τη νοητική του ικανότητα</w:t>
      </w:r>
      <w:r w:rsidRPr="003F7A6D">
        <w:rPr>
          <w:lang w:eastAsia="el-GR"/>
        </w:rPr>
        <w:t xml:space="preserve">. </w:t>
      </w:r>
      <w:r>
        <w:rPr>
          <w:lang w:eastAsia="el-GR"/>
        </w:rPr>
        <w:t xml:space="preserve">Τυχόν αποκλίσεις μεγαλύτερες των 15 μονάδων ανάμεσα στην αναμενόμενη και την πραγματική ακαδημαϊκή επίδοση των μαθητών χαρακτηρίστηκαν ως περιπτώσεις </w:t>
      </w:r>
      <w:proofErr w:type="spellStart"/>
      <w:r>
        <w:rPr>
          <w:lang w:eastAsia="el-GR"/>
        </w:rPr>
        <w:t>υποεπίδοσης</w:t>
      </w:r>
      <w:proofErr w:type="spellEnd"/>
      <w:r>
        <w:rPr>
          <w:lang w:eastAsia="el-GR"/>
        </w:rPr>
        <w:t xml:space="preserve"> ή </w:t>
      </w:r>
      <w:proofErr w:type="spellStart"/>
      <w:r>
        <w:rPr>
          <w:lang w:eastAsia="el-GR"/>
        </w:rPr>
        <w:t>υπερεπίδοσης</w:t>
      </w:r>
      <w:proofErr w:type="spellEnd"/>
      <w:r>
        <w:rPr>
          <w:lang w:eastAsia="el-GR"/>
        </w:rPr>
        <w:t xml:space="preserve">, αντίστοιχα. </w:t>
      </w:r>
    </w:p>
    <w:p w14:paraId="7336A1BB" w14:textId="77777777" w:rsidR="00BC36A8" w:rsidRDefault="00EC35AC" w:rsidP="007136D3">
      <w:pPr>
        <w:pStyle w:val="8"/>
        <w:rPr>
          <w:lang w:eastAsia="el-GR"/>
        </w:rPr>
      </w:pPr>
      <w:r>
        <w:rPr>
          <w:lang w:eastAsia="el-GR"/>
        </w:rPr>
        <w:t xml:space="preserve">Με βάση το παραπάνω κριτήριο, εντοπίστηκαν 26 μαθητές με ακαδημαϊκή </w:t>
      </w:r>
      <w:proofErr w:type="spellStart"/>
      <w:r>
        <w:rPr>
          <w:lang w:eastAsia="el-GR"/>
        </w:rPr>
        <w:t>υποεπίδοσημεταξύ</w:t>
      </w:r>
      <w:proofErr w:type="spellEnd"/>
      <w:r>
        <w:rPr>
          <w:lang w:eastAsia="el-GR"/>
        </w:rPr>
        <w:t xml:space="preserve"> των μαθητών Δημοτικού, αριθμός που αντιστοιχεί στο 11,3% του συγκεκριμένου δείγματος, και 14 μαθητές (4,3%) με </w:t>
      </w:r>
      <w:proofErr w:type="spellStart"/>
      <w:r>
        <w:rPr>
          <w:lang w:eastAsia="el-GR"/>
        </w:rPr>
        <w:t>υπερεπίδοση</w:t>
      </w:r>
      <w:proofErr w:type="spellEnd"/>
      <w:r>
        <w:rPr>
          <w:lang w:eastAsia="el-GR"/>
        </w:rPr>
        <w:t xml:space="preserve">. Όσον αφορά το δείγμα μαθητών Γυμνασίου, εντοπίστηκαν 35 (11,8%) μαθητές με </w:t>
      </w:r>
      <w:proofErr w:type="spellStart"/>
      <w:r>
        <w:rPr>
          <w:lang w:eastAsia="el-GR"/>
        </w:rPr>
        <w:t>ακαδημαϊκη</w:t>
      </w:r>
      <w:proofErr w:type="spellEnd"/>
      <w:r>
        <w:rPr>
          <w:lang w:eastAsia="el-GR"/>
        </w:rPr>
        <w:t xml:space="preserve"> </w:t>
      </w:r>
      <w:proofErr w:type="spellStart"/>
      <w:r>
        <w:rPr>
          <w:lang w:eastAsia="el-GR"/>
        </w:rPr>
        <w:t>υποεπίδοση</w:t>
      </w:r>
      <w:proofErr w:type="spellEnd"/>
      <w:r>
        <w:rPr>
          <w:lang w:eastAsia="el-GR"/>
        </w:rPr>
        <w:t xml:space="preserve"> και 25 (8,1%) μαθητές με </w:t>
      </w:r>
      <w:proofErr w:type="spellStart"/>
      <w:r>
        <w:rPr>
          <w:lang w:eastAsia="el-GR"/>
        </w:rPr>
        <w:t>υπερεπίδοση</w:t>
      </w:r>
      <w:proofErr w:type="spellEnd"/>
      <w:r>
        <w:rPr>
          <w:lang w:eastAsia="el-GR"/>
        </w:rPr>
        <w:t>. Μη αναμενόμενες ακαδημαϊκές επιδόσεις με βάση το νοητικό δυναμικό διαπιστώθηκαν στο σύνολο των τεσσάρων σχολικών τάξεων απ’ όπου προήλθε το δείγμα μας (Βλ. Πίνακας 5).</w:t>
      </w:r>
    </w:p>
    <w:p w14:paraId="11E777AD" w14:textId="77777777" w:rsidR="00BC36A8" w:rsidRDefault="00BC36A8" w:rsidP="007136D3">
      <w:pPr>
        <w:pStyle w:val="8"/>
        <w:rPr>
          <w:lang w:eastAsia="el-GR"/>
        </w:rPr>
      </w:pPr>
    </w:p>
    <w:p w14:paraId="77E6DB52" w14:textId="77777777" w:rsidR="00EC35AC" w:rsidRPr="00E9752A" w:rsidRDefault="00EC35AC" w:rsidP="00EC35AC">
      <w:pPr>
        <w:rPr>
          <w:lang w:eastAsia="el-GR"/>
        </w:rPr>
      </w:pPr>
      <w:r w:rsidRPr="00E9752A">
        <w:rPr>
          <w:lang w:eastAsia="el-GR"/>
        </w:rPr>
        <w:t>Πίνακας 5.</w:t>
      </w:r>
    </w:p>
    <w:p w14:paraId="6E78D0D2" w14:textId="77777777" w:rsidR="00EC35AC" w:rsidRPr="00E9752A" w:rsidRDefault="00EC35AC" w:rsidP="00EC35AC">
      <w:pPr>
        <w:rPr>
          <w:lang w:eastAsia="el-GR"/>
        </w:rPr>
      </w:pPr>
      <w:r w:rsidRPr="00E9752A">
        <w:rPr>
          <w:lang w:eastAsia="el-GR"/>
        </w:rPr>
        <w:t>Κατανομή μαθητών με ακαδημαϊκή υποεπίδοση και υπερεπίδοση κατά σχολική τάξη</w:t>
      </w:r>
    </w:p>
    <w:tbl>
      <w:tblPr>
        <w:tblpPr w:leftFromText="180" w:rightFromText="180" w:vertAnchor="text" w:horzAnchor="margin" w:tblpXSpec="center" w:tblpY="71"/>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2200"/>
        <w:gridCol w:w="1025"/>
        <w:gridCol w:w="1526"/>
        <w:gridCol w:w="736"/>
        <w:gridCol w:w="1417"/>
      </w:tblGrid>
      <w:tr w:rsidR="00EC35AC" w:rsidRPr="00BC5AFD" w14:paraId="1A3EE24B" w14:textId="77777777" w:rsidTr="00EC35AC">
        <w:trPr>
          <w:trHeight w:val="262"/>
        </w:trPr>
        <w:tc>
          <w:tcPr>
            <w:tcW w:w="1284" w:type="dxa"/>
            <w:tcBorders>
              <w:top w:val="single" w:sz="8" w:space="0" w:color="auto"/>
              <w:left w:val="nil"/>
              <w:bottom w:val="nil"/>
              <w:right w:val="nil"/>
            </w:tcBorders>
            <w:vAlign w:val="center"/>
          </w:tcPr>
          <w:p w14:paraId="2BF00831" w14:textId="77777777" w:rsidR="00EC35AC" w:rsidRPr="00BC5AFD" w:rsidRDefault="00EC35AC" w:rsidP="00EC35AC">
            <w:pPr>
              <w:rPr>
                <w:rFonts w:ascii="Times New Roman" w:eastAsia="Calibri" w:hAnsi="Times New Roman"/>
              </w:rPr>
            </w:pPr>
          </w:p>
        </w:tc>
        <w:tc>
          <w:tcPr>
            <w:tcW w:w="2200" w:type="dxa"/>
            <w:tcBorders>
              <w:top w:val="single" w:sz="8" w:space="0" w:color="auto"/>
              <w:left w:val="nil"/>
              <w:bottom w:val="nil"/>
              <w:right w:val="nil"/>
            </w:tcBorders>
            <w:vAlign w:val="center"/>
          </w:tcPr>
          <w:p w14:paraId="32771C0A" w14:textId="77777777" w:rsidR="00EC35AC" w:rsidRPr="00BC5AFD" w:rsidRDefault="00EC35AC" w:rsidP="00EC35AC">
            <w:pPr>
              <w:jc w:val="both"/>
              <w:rPr>
                <w:rFonts w:ascii="Times New Roman" w:eastAsia="Calibri" w:hAnsi="Times New Roman"/>
              </w:rPr>
            </w:pPr>
          </w:p>
        </w:tc>
        <w:tc>
          <w:tcPr>
            <w:tcW w:w="2551" w:type="dxa"/>
            <w:gridSpan w:val="2"/>
            <w:tcBorders>
              <w:top w:val="single" w:sz="8" w:space="0" w:color="auto"/>
              <w:left w:val="nil"/>
              <w:right w:val="nil"/>
            </w:tcBorders>
          </w:tcPr>
          <w:p w14:paraId="1E7B761D" w14:textId="77777777" w:rsidR="00EC35AC" w:rsidRPr="004374B8" w:rsidRDefault="00EC35AC" w:rsidP="00EC35AC">
            <w:pPr>
              <w:jc w:val="center"/>
              <w:rPr>
                <w:rFonts w:ascii="Times New Roman" w:eastAsia="Calibri" w:hAnsi="Times New Roman"/>
                <w:b/>
              </w:rPr>
            </w:pPr>
            <w:r w:rsidRPr="004374B8">
              <w:rPr>
                <w:rFonts w:ascii="Times New Roman" w:eastAsia="Calibri" w:hAnsi="Times New Roman"/>
                <w:b/>
              </w:rPr>
              <w:t>Υποεπίδοση</w:t>
            </w:r>
          </w:p>
        </w:tc>
        <w:tc>
          <w:tcPr>
            <w:tcW w:w="2153" w:type="dxa"/>
            <w:gridSpan w:val="2"/>
            <w:tcBorders>
              <w:top w:val="single" w:sz="8" w:space="0" w:color="auto"/>
              <w:left w:val="nil"/>
              <w:right w:val="nil"/>
            </w:tcBorders>
          </w:tcPr>
          <w:p w14:paraId="016EFF25" w14:textId="77777777" w:rsidR="00EC35AC" w:rsidRPr="004374B8" w:rsidRDefault="00EC35AC" w:rsidP="00EC35AC">
            <w:pPr>
              <w:jc w:val="center"/>
              <w:rPr>
                <w:rFonts w:ascii="Times New Roman" w:eastAsia="Calibri" w:hAnsi="Times New Roman"/>
                <w:b/>
              </w:rPr>
            </w:pPr>
            <w:r w:rsidRPr="004374B8">
              <w:rPr>
                <w:rFonts w:ascii="Times New Roman" w:eastAsia="Calibri" w:hAnsi="Times New Roman"/>
                <w:b/>
              </w:rPr>
              <w:t>Υπερεπίδοση</w:t>
            </w:r>
          </w:p>
        </w:tc>
      </w:tr>
      <w:tr w:rsidR="00EC35AC" w:rsidRPr="00BC5AFD" w14:paraId="65402545" w14:textId="77777777" w:rsidTr="00EC35AC">
        <w:trPr>
          <w:trHeight w:val="266"/>
        </w:trPr>
        <w:tc>
          <w:tcPr>
            <w:tcW w:w="1284" w:type="dxa"/>
            <w:tcBorders>
              <w:top w:val="nil"/>
              <w:left w:val="nil"/>
              <w:bottom w:val="single" w:sz="8" w:space="0" w:color="auto"/>
              <w:right w:val="nil"/>
            </w:tcBorders>
            <w:vAlign w:val="center"/>
          </w:tcPr>
          <w:p w14:paraId="797C2565" w14:textId="77777777" w:rsidR="00EC35AC" w:rsidRPr="00BC5AFD" w:rsidRDefault="00EC35AC" w:rsidP="00EC35AC">
            <w:pPr>
              <w:rPr>
                <w:rFonts w:ascii="Times New Roman" w:eastAsia="Calibri" w:hAnsi="Times New Roman"/>
              </w:rPr>
            </w:pPr>
          </w:p>
        </w:tc>
        <w:tc>
          <w:tcPr>
            <w:tcW w:w="2200" w:type="dxa"/>
            <w:tcBorders>
              <w:top w:val="nil"/>
              <w:left w:val="nil"/>
              <w:bottom w:val="single" w:sz="8" w:space="0" w:color="auto"/>
              <w:right w:val="nil"/>
            </w:tcBorders>
            <w:vAlign w:val="center"/>
          </w:tcPr>
          <w:p w14:paraId="2AB38A58" w14:textId="77777777" w:rsidR="00EC35AC" w:rsidRPr="00BC5AFD" w:rsidRDefault="00EC35AC" w:rsidP="00EC35AC">
            <w:pPr>
              <w:jc w:val="both"/>
              <w:rPr>
                <w:rFonts w:ascii="Times New Roman" w:eastAsia="Calibri" w:hAnsi="Times New Roman"/>
              </w:rPr>
            </w:pPr>
          </w:p>
        </w:tc>
        <w:tc>
          <w:tcPr>
            <w:tcW w:w="1025" w:type="dxa"/>
            <w:tcBorders>
              <w:top w:val="single" w:sz="8" w:space="0" w:color="auto"/>
              <w:left w:val="nil"/>
              <w:right w:val="nil"/>
            </w:tcBorders>
          </w:tcPr>
          <w:p w14:paraId="44CF0A64" w14:textId="77777777" w:rsidR="00EC35AC" w:rsidRPr="00A07F1F" w:rsidRDefault="00EC35AC" w:rsidP="00EC35AC">
            <w:pPr>
              <w:rPr>
                <w:rFonts w:ascii="Times New Roman" w:eastAsia="Calibri" w:hAnsi="Times New Roman"/>
                <w:i/>
              </w:rPr>
            </w:pPr>
            <w:r w:rsidRPr="00A07F1F">
              <w:rPr>
                <w:rFonts w:ascii="Times New Roman" w:eastAsia="Calibri" w:hAnsi="Times New Roman"/>
                <w:i/>
              </w:rPr>
              <w:t>Ν</w:t>
            </w:r>
          </w:p>
        </w:tc>
        <w:tc>
          <w:tcPr>
            <w:tcW w:w="1526" w:type="dxa"/>
            <w:tcBorders>
              <w:top w:val="single" w:sz="8" w:space="0" w:color="auto"/>
              <w:left w:val="nil"/>
              <w:right w:val="nil"/>
            </w:tcBorders>
          </w:tcPr>
          <w:p w14:paraId="55CE6F8D" w14:textId="77777777" w:rsidR="00EC35AC" w:rsidRPr="00BC5AFD" w:rsidRDefault="00EC35AC" w:rsidP="00EC35AC">
            <w:pPr>
              <w:jc w:val="both"/>
              <w:rPr>
                <w:rFonts w:ascii="Times New Roman" w:eastAsia="Calibri" w:hAnsi="Times New Roman"/>
              </w:rPr>
            </w:pPr>
            <w:r>
              <w:rPr>
                <w:rFonts w:ascii="Times New Roman" w:eastAsia="Calibri" w:hAnsi="Times New Roman"/>
              </w:rPr>
              <w:t>Ποσοστό %</w:t>
            </w:r>
          </w:p>
        </w:tc>
        <w:tc>
          <w:tcPr>
            <w:tcW w:w="736" w:type="dxa"/>
            <w:tcBorders>
              <w:top w:val="single" w:sz="8" w:space="0" w:color="auto"/>
              <w:left w:val="nil"/>
              <w:right w:val="nil"/>
            </w:tcBorders>
          </w:tcPr>
          <w:p w14:paraId="6B9A4A2A" w14:textId="77777777" w:rsidR="00EC35AC" w:rsidRPr="00A07F1F" w:rsidRDefault="00EC35AC" w:rsidP="00EC35AC">
            <w:pPr>
              <w:jc w:val="both"/>
              <w:rPr>
                <w:rFonts w:ascii="Times New Roman" w:eastAsia="Calibri" w:hAnsi="Times New Roman"/>
                <w:i/>
              </w:rPr>
            </w:pPr>
            <w:r w:rsidRPr="00A07F1F">
              <w:rPr>
                <w:rFonts w:ascii="Times New Roman" w:eastAsia="Calibri" w:hAnsi="Times New Roman"/>
                <w:i/>
              </w:rPr>
              <w:t>Ν</w:t>
            </w:r>
          </w:p>
        </w:tc>
        <w:tc>
          <w:tcPr>
            <w:tcW w:w="1417" w:type="dxa"/>
            <w:tcBorders>
              <w:top w:val="single" w:sz="8" w:space="0" w:color="auto"/>
              <w:left w:val="nil"/>
              <w:right w:val="nil"/>
            </w:tcBorders>
          </w:tcPr>
          <w:p w14:paraId="191C1436" w14:textId="77777777" w:rsidR="00EC35AC" w:rsidRDefault="00EC35AC" w:rsidP="00EC35AC">
            <w:pPr>
              <w:jc w:val="both"/>
              <w:rPr>
                <w:rFonts w:ascii="Times New Roman" w:eastAsia="Calibri" w:hAnsi="Times New Roman"/>
              </w:rPr>
            </w:pPr>
            <w:r>
              <w:rPr>
                <w:rFonts w:ascii="Times New Roman" w:eastAsia="Calibri" w:hAnsi="Times New Roman"/>
              </w:rPr>
              <w:t>Ποσοστό%</w:t>
            </w:r>
          </w:p>
        </w:tc>
      </w:tr>
      <w:tr w:rsidR="00EC35AC" w:rsidRPr="00BC5AFD" w14:paraId="58F14A52" w14:textId="77777777" w:rsidTr="00EC35AC">
        <w:trPr>
          <w:trHeight w:val="667"/>
        </w:trPr>
        <w:tc>
          <w:tcPr>
            <w:tcW w:w="1284" w:type="dxa"/>
            <w:vMerge w:val="restart"/>
            <w:tcBorders>
              <w:top w:val="single" w:sz="8" w:space="0" w:color="auto"/>
              <w:left w:val="nil"/>
              <w:right w:val="nil"/>
            </w:tcBorders>
            <w:vAlign w:val="center"/>
          </w:tcPr>
          <w:p w14:paraId="68E2B71C" w14:textId="77777777" w:rsidR="00EC35AC" w:rsidRPr="00BC5AFD" w:rsidRDefault="00EC35AC" w:rsidP="00EC35AC">
            <w:pPr>
              <w:rPr>
                <w:rFonts w:ascii="Times New Roman" w:eastAsia="Calibri" w:hAnsi="Times New Roman"/>
                <w:b/>
              </w:rPr>
            </w:pPr>
            <w:r w:rsidRPr="000C7F51">
              <w:rPr>
                <w:rFonts w:ascii="Times New Roman" w:eastAsia="Calibri" w:hAnsi="Times New Roman"/>
                <w:b/>
              </w:rPr>
              <w:t>Δημοτικό</w:t>
            </w:r>
          </w:p>
          <w:p w14:paraId="5C978E5A" w14:textId="77777777" w:rsidR="00EC35AC" w:rsidRPr="00BC5AFD" w:rsidRDefault="00EC35AC" w:rsidP="00EC35AC">
            <w:pPr>
              <w:ind w:left="851"/>
              <w:jc w:val="both"/>
              <w:rPr>
                <w:rFonts w:ascii="Times New Roman" w:eastAsia="Calibri" w:hAnsi="Times New Roman"/>
              </w:rPr>
            </w:pPr>
          </w:p>
          <w:p w14:paraId="3D3D0317" w14:textId="77777777" w:rsidR="00EC35AC" w:rsidRPr="00BC5AFD" w:rsidRDefault="00EC35AC" w:rsidP="00EC35AC">
            <w:pPr>
              <w:ind w:left="851"/>
              <w:jc w:val="both"/>
              <w:rPr>
                <w:rFonts w:ascii="Times New Roman" w:eastAsia="Calibri" w:hAnsi="Times New Roman"/>
              </w:rPr>
            </w:pPr>
          </w:p>
        </w:tc>
        <w:tc>
          <w:tcPr>
            <w:tcW w:w="2200" w:type="dxa"/>
            <w:tcBorders>
              <w:top w:val="single" w:sz="8" w:space="0" w:color="auto"/>
              <w:left w:val="nil"/>
              <w:right w:val="nil"/>
            </w:tcBorders>
            <w:vAlign w:val="center"/>
          </w:tcPr>
          <w:p w14:paraId="68AC4E83" w14:textId="77777777" w:rsidR="00EC35AC" w:rsidRPr="00BC5AFD" w:rsidRDefault="00EC35AC" w:rsidP="00EC35AC">
            <w:pPr>
              <w:jc w:val="both"/>
              <w:rPr>
                <w:rFonts w:ascii="Times New Roman" w:eastAsia="Calibri" w:hAnsi="Times New Roman"/>
              </w:rPr>
            </w:pPr>
            <w:r>
              <w:rPr>
                <w:rFonts w:ascii="Times New Roman" w:eastAsia="Calibri" w:hAnsi="Times New Roman"/>
              </w:rPr>
              <w:t>Ε’ Δ</w:t>
            </w:r>
            <w:r w:rsidRPr="00BC5AFD">
              <w:rPr>
                <w:rFonts w:ascii="Times New Roman" w:eastAsia="Calibri" w:hAnsi="Times New Roman"/>
              </w:rPr>
              <w:t>ημοτικού</w:t>
            </w:r>
          </w:p>
          <w:p w14:paraId="354CEA88" w14:textId="77777777" w:rsidR="00EC35AC" w:rsidRPr="00BC5AFD" w:rsidRDefault="00EC35AC" w:rsidP="00EC35AC">
            <w:pPr>
              <w:jc w:val="both"/>
              <w:rPr>
                <w:rFonts w:ascii="Times New Roman" w:eastAsia="Calibri" w:hAnsi="Times New Roman"/>
              </w:rPr>
            </w:pPr>
            <w:r>
              <w:rPr>
                <w:rFonts w:ascii="Times New Roman" w:eastAsia="Calibri" w:hAnsi="Times New Roman"/>
              </w:rPr>
              <w:t>Στ’ Δ</w:t>
            </w:r>
            <w:r w:rsidRPr="00BC5AFD">
              <w:rPr>
                <w:rFonts w:ascii="Times New Roman" w:eastAsia="Calibri" w:hAnsi="Times New Roman"/>
              </w:rPr>
              <w:t>ημοτικού</w:t>
            </w:r>
          </w:p>
        </w:tc>
        <w:tc>
          <w:tcPr>
            <w:tcW w:w="1025" w:type="dxa"/>
            <w:tcBorders>
              <w:top w:val="single" w:sz="8" w:space="0" w:color="auto"/>
              <w:left w:val="nil"/>
              <w:right w:val="nil"/>
            </w:tcBorders>
          </w:tcPr>
          <w:p w14:paraId="62CE2F4F" w14:textId="77777777" w:rsidR="00EC35AC" w:rsidRPr="00BC5AFD" w:rsidRDefault="00EC35AC" w:rsidP="00EC35AC">
            <w:pPr>
              <w:rPr>
                <w:rFonts w:ascii="Times New Roman" w:eastAsia="Calibri" w:hAnsi="Times New Roman"/>
              </w:rPr>
            </w:pPr>
            <w:r>
              <w:rPr>
                <w:rFonts w:ascii="Times New Roman" w:eastAsia="Calibri" w:hAnsi="Times New Roman"/>
              </w:rPr>
              <w:t>8</w:t>
            </w:r>
          </w:p>
          <w:p w14:paraId="1AF9C39E" w14:textId="77777777" w:rsidR="00EC35AC" w:rsidRPr="00BC5AFD" w:rsidRDefault="00EC35AC" w:rsidP="00EC35AC">
            <w:pPr>
              <w:rPr>
                <w:rFonts w:ascii="Times New Roman" w:eastAsia="Calibri" w:hAnsi="Times New Roman"/>
              </w:rPr>
            </w:pPr>
            <w:r>
              <w:rPr>
                <w:rFonts w:ascii="Times New Roman" w:eastAsia="Calibri" w:hAnsi="Times New Roman"/>
              </w:rPr>
              <w:t>18</w:t>
            </w:r>
          </w:p>
        </w:tc>
        <w:tc>
          <w:tcPr>
            <w:tcW w:w="1526" w:type="dxa"/>
            <w:tcBorders>
              <w:top w:val="single" w:sz="8" w:space="0" w:color="auto"/>
              <w:left w:val="nil"/>
              <w:right w:val="nil"/>
            </w:tcBorders>
          </w:tcPr>
          <w:p w14:paraId="7AD236AC" w14:textId="77777777" w:rsidR="00EC35AC" w:rsidRPr="00BC5AFD" w:rsidRDefault="00EC35AC" w:rsidP="00EC35AC">
            <w:pPr>
              <w:jc w:val="both"/>
              <w:rPr>
                <w:rFonts w:ascii="Times New Roman" w:eastAsia="Calibri" w:hAnsi="Times New Roman"/>
              </w:rPr>
            </w:pPr>
            <w:r>
              <w:rPr>
                <w:rFonts w:ascii="Times New Roman" w:eastAsia="Calibri" w:hAnsi="Times New Roman"/>
              </w:rPr>
              <w:t>30,8</w:t>
            </w:r>
          </w:p>
          <w:p w14:paraId="6D88601D" w14:textId="77777777" w:rsidR="00EC35AC" w:rsidRPr="00BC5AFD" w:rsidRDefault="00EC35AC" w:rsidP="00EC35AC">
            <w:pPr>
              <w:jc w:val="both"/>
              <w:rPr>
                <w:rFonts w:ascii="Times New Roman" w:eastAsia="Calibri" w:hAnsi="Times New Roman"/>
              </w:rPr>
            </w:pPr>
            <w:r>
              <w:rPr>
                <w:rFonts w:ascii="Times New Roman" w:eastAsia="Calibri" w:hAnsi="Times New Roman"/>
              </w:rPr>
              <w:t>69,2</w:t>
            </w:r>
          </w:p>
        </w:tc>
        <w:tc>
          <w:tcPr>
            <w:tcW w:w="736" w:type="dxa"/>
            <w:tcBorders>
              <w:top w:val="single" w:sz="8" w:space="0" w:color="auto"/>
              <w:left w:val="nil"/>
              <w:right w:val="nil"/>
            </w:tcBorders>
          </w:tcPr>
          <w:p w14:paraId="23DC2DA6" w14:textId="77777777" w:rsidR="00EC35AC" w:rsidRPr="00BC5AFD" w:rsidRDefault="00EC35AC" w:rsidP="00EC35AC">
            <w:pPr>
              <w:jc w:val="both"/>
              <w:rPr>
                <w:rFonts w:ascii="Times New Roman" w:eastAsia="Calibri" w:hAnsi="Times New Roman"/>
              </w:rPr>
            </w:pPr>
            <w:r>
              <w:rPr>
                <w:rFonts w:ascii="Times New Roman" w:eastAsia="Calibri" w:hAnsi="Times New Roman"/>
              </w:rPr>
              <w:t>6</w:t>
            </w:r>
            <w:r>
              <w:rPr>
                <w:rFonts w:ascii="Times New Roman" w:eastAsia="Calibri" w:hAnsi="Times New Roman"/>
              </w:rPr>
              <w:br/>
              <w:t>8</w:t>
            </w:r>
          </w:p>
        </w:tc>
        <w:tc>
          <w:tcPr>
            <w:tcW w:w="1417" w:type="dxa"/>
            <w:tcBorders>
              <w:top w:val="single" w:sz="8" w:space="0" w:color="auto"/>
              <w:left w:val="nil"/>
              <w:right w:val="nil"/>
            </w:tcBorders>
          </w:tcPr>
          <w:p w14:paraId="50D00F8C" w14:textId="77777777" w:rsidR="00EC35AC" w:rsidRPr="00BC5AFD" w:rsidRDefault="00EC35AC" w:rsidP="00EC35AC">
            <w:pPr>
              <w:jc w:val="both"/>
              <w:rPr>
                <w:rFonts w:ascii="Times New Roman" w:eastAsia="Calibri" w:hAnsi="Times New Roman"/>
              </w:rPr>
            </w:pPr>
            <w:r>
              <w:rPr>
                <w:rFonts w:ascii="Times New Roman" w:eastAsia="Calibri" w:hAnsi="Times New Roman"/>
              </w:rPr>
              <w:t>42,9</w:t>
            </w:r>
            <w:r>
              <w:rPr>
                <w:rFonts w:ascii="Times New Roman" w:eastAsia="Calibri" w:hAnsi="Times New Roman"/>
              </w:rPr>
              <w:br/>
              <w:t>57,1</w:t>
            </w:r>
          </w:p>
        </w:tc>
      </w:tr>
      <w:tr w:rsidR="00EC35AC" w:rsidRPr="00BC5AFD" w14:paraId="65F268C5" w14:textId="77777777" w:rsidTr="00EC35AC">
        <w:trPr>
          <w:trHeight w:val="276"/>
        </w:trPr>
        <w:tc>
          <w:tcPr>
            <w:tcW w:w="1284" w:type="dxa"/>
            <w:vMerge/>
            <w:tcBorders>
              <w:left w:val="nil"/>
              <w:bottom w:val="single" w:sz="8" w:space="0" w:color="auto"/>
              <w:right w:val="nil"/>
            </w:tcBorders>
            <w:vAlign w:val="center"/>
          </w:tcPr>
          <w:p w14:paraId="3BBD0B2C" w14:textId="77777777" w:rsidR="00EC35AC" w:rsidRPr="00BC5AFD" w:rsidRDefault="00EC35AC" w:rsidP="00EC35AC">
            <w:pPr>
              <w:ind w:left="851"/>
              <w:jc w:val="both"/>
              <w:rPr>
                <w:rFonts w:ascii="Times New Roman" w:eastAsia="Calibri" w:hAnsi="Times New Roman"/>
              </w:rPr>
            </w:pPr>
          </w:p>
        </w:tc>
        <w:tc>
          <w:tcPr>
            <w:tcW w:w="2200" w:type="dxa"/>
            <w:tcBorders>
              <w:left w:val="nil"/>
              <w:bottom w:val="single" w:sz="8" w:space="0" w:color="auto"/>
              <w:right w:val="nil"/>
            </w:tcBorders>
            <w:vAlign w:val="center"/>
          </w:tcPr>
          <w:p w14:paraId="5E627997" w14:textId="77777777" w:rsidR="00EC35AC" w:rsidRPr="00BC5AFD" w:rsidRDefault="00EC35AC" w:rsidP="00EC35AC">
            <w:pPr>
              <w:ind w:left="851"/>
              <w:jc w:val="both"/>
              <w:rPr>
                <w:rFonts w:ascii="Times New Roman" w:eastAsia="Calibri" w:hAnsi="Times New Roman"/>
              </w:rPr>
            </w:pPr>
            <w:r w:rsidRPr="00BC5AFD">
              <w:rPr>
                <w:rFonts w:ascii="Times New Roman" w:eastAsia="Calibri" w:hAnsi="Times New Roman"/>
              </w:rPr>
              <w:t xml:space="preserve"> Σύνολο</w:t>
            </w:r>
          </w:p>
        </w:tc>
        <w:tc>
          <w:tcPr>
            <w:tcW w:w="1025" w:type="dxa"/>
            <w:tcBorders>
              <w:left w:val="nil"/>
              <w:bottom w:val="single" w:sz="8" w:space="0" w:color="auto"/>
              <w:right w:val="nil"/>
            </w:tcBorders>
          </w:tcPr>
          <w:p w14:paraId="02DF7132" w14:textId="77777777" w:rsidR="00EC35AC" w:rsidRPr="00BC5AFD" w:rsidRDefault="00EC35AC" w:rsidP="00EC35AC">
            <w:pPr>
              <w:rPr>
                <w:rFonts w:ascii="Times New Roman" w:eastAsia="Calibri" w:hAnsi="Times New Roman"/>
              </w:rPr>
            </w:pPr>
            <w:r>
              <w:rPr>
                <w:rFonts w:ascii="Times New Roman" w:eastAsia="Calibri" w:hAnsi="Times New Roman"/>
              </w:rPr>
              <w:t>26</w:t>
            </w:r>
          </w:p>
        </w:tc>
        <w:tc>
          <w:tcPr>
            <w:tcW w:w="1526" w:type="dxa"/>
            <w:tcBorders>
              <w:left w:val="nil"/>
              <w:bottom w:val="single" w:sz="8" w:space="0" w:color="auto"/>
              <w:right w:val="nil"/>
            </w:tcBorders>
          </w:tcPr>
          <w:p w14:paraId="51064EC0"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36" w:type="dxa"/>
            <w:tcBorders>
              <w:left w:val="nil"/>
              <w:bottom w:val="single" w:sz="8" w:space="0" w:color="auto"/>
              <w:right w:val="nil"/>
            </w:tcBorders>
          </w:tcPr>
          <w:p w14:paraId="7A07EF72" w14:textId="77777777" w:rsidR="00EC35AC" w:rsidRPr="00BC5AFD" w:rsidRDefault="00EC35AC" w:rsidP="00EC35AC">
            <w:pPr>
              <w:jc w:val="both"/>
              <w:rPr>
                <w:rFonts w:ascii="Times New Roman" w:eastAsia="Calibri" w:hAnsi="Times New Roman"/>
              </w:rPr>
            </w:pPr>
            <w:r>
              <w:rPr>
                <w:rFonts w:ascii="Times New Roman" w:eastAsia="Calibri" w:hAnsi="Times New Roman"/>
              </w:rPr>
              <w:t>14</w:t>
            </w:r>
          </w:p>
        </w:tc>
        <w:tc>
          <w:tcPr>
            <w:tcW w:w="1417" w:type="dxa"/>
            <w:tcBorders>
              <w:left w:val="nil"/>
              <w:bottom w:val="single" w:sz="8" w:space="0" w:color="auto"/>
              <w:right w:val="nil"/>
            </w:tcBorders>
          </w:tcPr>
          <w:p w14:paraId="1D79D523"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r w:rsidR="00EC35AC" w:rsidRPr="00BC5AFD" w14:paraId="69CFE7CE" w14:textId="77777777" w:rsidTr="00EC35AC">
        <w:trPr>
          <w:trHeight w:val="554"/>
        </w:trPr>
        <w:tc>
          <w:tcPr>
            <w:tcW w:w="1284" w:type="dxa"/>
            <w:vMerge w:val="restart"/>
            <w:tcBorders>
              <w:top w:val="single" w:sz="8" w:space="0" w:color="auto"/>
              <w:left w:val="nil"/>
              <w:right w:val="nil"/>
            </w:tcBorders>
          </w:tcPr>
          <w:p w14:paraId="1FAA2B3B" w14:textId="77777777" w:rsidR="00EC35AC" w:rsidRPr="00BC5AFD" w:rsidRDefault="00EC35AC" w:rsidP="00EC35AC">
            <w:pPr>
              <w:jc w:val="both"/>
              <w:rPr>
                <w:rFonts w:ascii="Times New Roman" w:eastAsia="Calibri" w:hAnsi="Times New Roman"/>
                <w:b/>
              </w:rPr>
            </w:pPr>
            <w:r w:rsidRPr="000C7F51">
              <w:rPr>
                <w:rFonts w:ascii="Times New Roman" w:eastAsia="Calibri" w:hAnsi="Times New Roman"/>
                <w:b/>
              </w:rPr>
              <w:t>Γυμνάσιο</w:t>
            </w:r>
          </w:p>
          <w:p w14:paraId="5E492BDB" w14:textId="77777777" w:rsidR="00EC35AC" w:rsidRPr="00BC5AFD" w:rsidRDefault="00EC35AC" w:rsidP="00EC35AC">
            <w:pPr>
              <w:ind w:left="851"/>
              <w:jc w:val="both"/>
              <w:rPr>
                <w:rFonts w:ascii="Times New Roman" w:eastAsia="Calibri" w:hAnsi="Times New Roman"/>
              </w:rPr>
            </w:pPr>
          </w:p>
        </w:tc>
        <w:tc>
          <w:tcPr>
            <w:tcW w:w="2200" w:type="dxa"/>
            <w:tcBorders>
              <w:top w:val="single" w:sz="8" w:space="0" w:color="auto"/>
              <w:left w:val="nil"/>
              <w:right w:val="nil"/>
            </w:tcBorders>
          </w:tcPr>
          <w:p w14:paraId="38245DF4" w14:textId="77777777" w:rsidR="00EC35AC" w:rsidRPr="00BC5AFD" w:rsidRDefault="00EC35AC" w:rsidP="00EC35AC">
            <w:pPr>
              <w:jc w:val="both"/>
              <w:rPr>
                <w:rFonts w:ascii="Times New Roman" w:eastAsia="Calibri" w:hAnsi="Times New Roman"/>
              </w:rPr>
            </w:pPr>
            <w:r>
              <w:rPr>
                <w:rFonts w:ascii="Times New Roman" w:eastAsia="Calibri" w:hAnsi="Times New Roman"/>
              </w:rPr>
              <w:t>Α’ Γυμνασίου</w:t>
            </w:r>
          </w:p>
          <w:p w14:paraId="66353AF8" w14:textId="77777777" w:rsidR="00EC35AC" w:rsidRPr="00BC5AFD" w:rsidRDefault="00EC35AC" w:rsidP="00EC35AC">
            <w:pPr>
              <w:jc w:val="both"/>
              <w:rPr>
                <w:rFonts w:ascii="Times New Roman" w:eastAsia="Calibri" w:hAnsi="Times New Roman"/>
              </w:rPr>
            </w:pPr>
            <w:r>
              <w:rPr>
                <w:rFonts w:ascii="Times New Roman" w:eastAsia="Calibri" w:hAnsi="Times New Roman"/>
              </w:rPr>
              <w:t>Β’ Γυμνασίου</w:t>
            </w:r>
          </w:p>
        </w:tc>
        <w:tc>
          <w:tcPr>
            <w:tcW w:w="1025" w:type="dxa"/>
            <w:tcBorders>
              <w:top w:val="single" w:sz="8" w:space="0" w:color="auto"/>
              <w:left w:val="nil"/>
              <w:right w:val="nil"/>
            </w:tcBorders>
          </w:tcPr>
          <w:p w14:paraId="23243A6D" w14:textId="77777777" w:rsidR="00EC35AC" w:rsidRPr="00BC5AFD" w:rsidRDefault="00EC35AC" w:rsidP="00EC35AC">
            <w:pPr>
              <w:rPr>
                <w:rFonts w:ascii="Times New Roman" w:eastAsia="Calibri" w:hAnsi="Times New Roman"/>
              </w:rPr>
            </w:pPr>
            <w:r>
              <w:rPr>
                <w:rFonts w:ascii="Times New Roman" w:eastAsia="Calibri" w:hAnsi="Times New Roman"/>
              </w:rPr>
              <w:t>20</w:t>
            </w:r>
          </w:p>
          <w:p w14:paraId="3FE22484" w14:textId="77777777" w:rsidR="00EC35AC" w:rsidRPr="00BC5AFD" w:rsidRDefault="00EC35AC" w:rsidP="00EC35AC">
            <w:pPr>
              <w:rPr>
                <w:rFonts w:ascii="Times New Roman" w:eastAsia="Calibri" w:hAnsi="Times New Roman"/>
              </w:rPr>
            </w:pPr>
            <w:r>
              <w:rPr>
                <w:rFonts w:ascii="Times New Roman" w:eastAsia="Calibri" w:hAnsi="Times New Roman"/>
              </w:rPr>
              <w:t>15</w:t>
            </w:r>
          </w:p>
        </w:tc>
        <w:tc>
          <w:tcPr>
            <w:tcW w:w="1526" w:type="dxa"/>
            <w:tcBorders>
              <w:top w:val="single" w:sz="8" w:space="0" w:color="auto"/>
              <w:left w:val="nil"/>
              <w:right w:val="nil"/>
            </w:tcBorders>
          </w:tcPr>
          <w:p w14:paraId="619FA947" w14:textId="77777777" w:rsidR="00EC35AC" w:rsidRPr="00BC5AFD" w:rsidRDefault="00EC35AC" w:rsidP="00EC35AC">
            <w:pPr>
              <w:jc w:val="both"/>
              <w:rPr>
                <w:rFonts w:ascii="Times New Roman" w:eastAsia="Calibri" w:hAnsi="Times New Roman"/>
              </w:rPr>
            </w:pPr>
            <w:r>
              <w:rPr>
                <w:rFonts w:ascii="Times New Roman" w:eastAsia="Calibri" w:hAnsi="Times New Roman"/>
              </w:rPr>
              <w:t>57,1</w:t>
            </w:r>
          </w:p>
          <w:p w14:paraId="452DF404" w14:textId="77777777" w:rsidR="00EC35AC" w:rsidRPr="00BC5AFD" w:rsidRDefault="00EC35AC" w:rsidP="00EC35AC">
            <w:pPr>
              <w:jc w:val="both"/>
              <w:rPr>
                <w:rFonts w:ascii="Times New Roman" w:eastAsia="Calibri" w:hAnsi="Times New Roman"/>
              </w:rPr>
            </w:pPr>
            <w:r>
              <w:rPr>
                <w:rFonts w:ascii="Times New Roman" w:eastAsia="Calibri" w:hAnsi="Times New Roman"/>
              </w:rPr>
              <w:t>42,9</w:t>
            </w:r>
          </w:p>
        </w:tc>
        <w:tc>
          <w:tcPr>
            <w:tcW w:w="736" w:type="dxa"/>
            <w:tcBorders>
              <w:top w:val="single" w:sz="8" w:space="0" w:color="auto"/>
              <w:left w:val="nil"/>
              <w:right w:val="nil"/>
            </w:tcBorders>
          </w:tcPr>
          <w:p w14:paraId="0EF71486" w14:textId="77777777" w:rsidR="00EC35AC" w:rsidRDefault="00EC35AC" w:rsidP="00EC35AC">
            <w:pPr>
              <w:jc w:val="both"/>
              <w:rPr>
                <w:rFonts w:ascii="Times New Roman" w:eastAsia="Calibri" w:hAnsi="Times New Roman"/>
              </w:rPr>
            </w:pPr>
            <w:r>
              <w:rPr>
                <w:rFonts w:ascii="Times New Roman" w:eastAsia="Calibri" w:hAnsi="Times New Roman"/>
              </w:rPr>
              <w:t>6</w:t>
            </w:r>
            <w:r>
              <w:rPr>
                <w:rFonts w:ascii="Times New Roman" w:eastAsia="Calibri" w:hAnsi="Times New Roman"/>
              </w:rPr>
              <w:br/>
              <w:t>19</w:t>
            </w:r>
          </w:p>
        </w:tc>
        <w:tc>
          <w:tcPr>
            <w:tcW w:w="1417" w:type="dxa"/>
            <w:tcBorders>
              <w:top w:val="single" w:sz="8" w:space="0" w:color="auto"/>
              <w:left w:val="nil"/>
              <w:right w:val="nil"/>
            </w:tcBorders>
          </w:tcPr>
          <w:p w14:paraId="37DB0EB4" w14:textId="77777777" w:rsidR="00EC35AC" w:rsidRDefault="00EC35AC" w:rsidP="00EC35AC">
            <w:pPr>
              <w:jc w:val="both"/>
              <w:rPr>
                <w:rFonts w:ascii="Times New Roman" w:eastAsia="Calibri" w:hAnsi="Times New Roman"/>
              </w:rPr>
            </w:pPr>
            <w:r>
              <w:rPr>
                <w:rFonts w:ascii="Times New Roman" w:eastAsia="Calibri" w:hAnsi="Times New Roman"/>
              </w:rPr>
              <w:t>24,0</w:t>
            </w:r>
            <w:r>
              <w:rPr>
                <w:rFonts w:ascii="Times New Roman" w:eastAsia="Calibri" w:hAnsi="Times New Roman"/>
              </w:rPr>
              <w:br/>
              <w:t>76,0</w:t>
            </w:r>
          </w:p>
        </w:tc>
      </w:tr>
      <w:tr w:rsidR="00EC35AC" w:rsidRPr="00BC5AFD" w14:paraId="2F508E94" w14:textId="77777777" w:rsidTr="00EC35AC">
        <w:trPr>
          <w:trHeight w:val="274"/>
        </w:trPr>
        <w:tc>
          <w:tcPr>
            <w:tcW w:w="1284" w:type="dxa"/>
            <w:vMerge/>
            <w:tcBorders>
              <w:left w:val="nil"/>
              <w:bottom w:val="single" w:sz="8" w:space="0" w:color="auto"/>
              <w:right w:val="nil"/>
            </w:tcBorders>
          </w:tcPr>
          <w:p w14:paraId="67FCB08F" w14:textId="77777777" w:rsidR="00EC35AC" w:rsidRPr="00BC5AFD" w:rsidRDefault="00EC35AC" w:rsidP="00EC35AC">
            <w:pPr>
              <w:ind w:left="851"/>
              <w:jc w:val="both"/>
              <w:rPr>
                <w:rFonts w:ascii="Times New Roman" w:eastAsia="Calibri" w:hAnsi="Times New Roman"/>
              </w:rPr>
            </w:pPr>
          </w:p>
        </w:tc>
        <w:tc>
          <w:tcPr>
            <w:tcW w:w="2200" w:type="dxa"/>
            <w:tcBorders>
              <w:left w:val="nil"/>
              <w:bottom w:val="single" w:sz="8" w:space="0" w:color="auto"/>
              <w:right w:val="nil"/>
            </w:tcBorders>
          </w:tcPr>
          <w:p w14:paraId="640E5F46" w14:textId="77777777" w:rsidR="00EC35AC" w:rsidRPr="00BC5AFD" w:rsidRDefault="00EC35AC" w:rsidP="00EC35AC">
            <w:pPr>
              <w:ind w:left="851"/>
              <w:jc w:val="both"/>
              <w:rPr>
                <w:rFonts w:ascii="Times New Roman" w:eastAsia="Calibri" w:hAnsi="Times New Roman"/>
              </w:rPr>
            </w:pPr>
            <w:r w:rsidRPr="00BC5AFD">
              <w:rPr>
                <w:rFonts w:ascii="Times New Roman" w:eastAsia="Calibri" w:hAnsi="Times New Roman"/>
              </w:rPr>
              <w:t xml:space="preserve"> Σύνολο</w:t>
            </w:r>
          </w:p>
        </w:tc>
        <w:tc>
          <w:tcPr>
            <w:tcW w:w="1025" w:type="dxa"/>
            <w:tcBorders>
              <w:left w:val="nil"/>
              <w:bottom w:val="single" w:sz="8" w:space="0" w:color="auto"/>
              <w:right w:val="nil"/>
            </w:tcBorders>
          </w:tcPr>
          <w:p w14:paraId="1669EDE7" w14:textId="77777777" w:rsidR="00EC35AC" w:rsidRPr="00BC5AFD" w:rsidRDefault="00EC35AC" w:rsidP="00EC35AC">
            <w:pPr>
              <w:rPr>
                <w:rFonts w:ascii="Times New Roman" w:eastAsia="Calibri" w:hAnsi="Times New Roman"/>
              </w:rPr>
            </w:pPr>
            <w:r>
              <w:rPr>
                <w:rFonts w:ascii="Times New Roman" w:eastAsia="Calibri" w:hAnsi="Times New Roman"/>
              </w:rPr>
              <w:t>35</w:t>
            </w:r>
          </w:p>
        </w:tc>
        <w:tc>
          <w:tcPr>
            <w:tcW w:w="1526" w:type="dxa"/>
            <w:tcBorders>
              <w:left w:val="nil"/>
              <w:bottom w:val="single" w:sz="8" w:space="0" w:color="auto"/>
              <w:right w:val="nil"/>
            </w:tcBorders>
          </w:tcPr>
          <w:p w14:paraId="78D878DA"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36" w:type="dxa"/>
            <w:tcBorders>
              <w:left w:val="nil"/>
              <w:bottom w:val="single" w:sz="8" w:space="0" w:color="auto"/>
              <w:right w:val="nil"/>
            </w:tcBorders>
          </w:tcPr>
          <w:p w14:paraId="23A13D68" w14:textId="77777777" w:rsidR="00EC35AC" w:rsidRPr="00BC5AFD" w:rsidRDefault="00EC35AC" w:rsidP="00EC35AC">
            <w:pPr>
              <w:jc w:val="both"/>
              <w:rPr>
                <w:rFonts w:ascii="Times New Roman" w:eastAsia="Calibri" w:hAnsi="Times New Roman"/>
              </w:rPr>
            </w:pPr>
            <w:r>
              <w:rPr>
                <w:rFonts w:ascii="Times New Roman" w:eastAsia="Calibri" w:hAnsi="Times New Roman"/>
              </w:rPr>
              <w:t>25</w:t>
            </w:r>
          </w:p>
        </w:tc>
        <w:tc>
          <w:tcPr>
            <w:tcW w:w="1417" w:type="dxa"/>
            <w:tcBorders>
              <w:left w:val="nil"/>
              <w:bottom w:val="single" w:sz="8" w:space="0" w:color="auto"/>
              <w:right w:val="nil"/>
            </w:tcBorders>
          </w:tcPr>
          <w:p w14:paraId="7BBD7C25"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bl>
    <w:p w14:paraId="407A9669" w14:textId="77777777" w:rsidR="00EC35AC" w:rsidRDefault="00EC35AC" w:rsidP="00EC35AC">
      <w:pPr>
        <w:spacing w:line="360" w:lineRule="auto"/>
        <w:ind w:firstLine="720"/>
        <w:jc w:val="both"/>
        <w:rPr>
          <w:rFonts w:ascii="Times New Roman" w:hAnsi="Times New Roman"/>
          <w:szCs w:val="24"/>
          <w:lang w:eastAsia="el-GR"/>
        </w:rPr>
      </w:pPr>
    </w:p>
    <w:p w14:paraId="39E92165" w14:textId="77777777" w:rsidR="00EC35AC" w:rsidRDefault="00EC35AC" w:rsidP="007136D3">
      <w:pPr>
        <w:pStyle w:val="8"/>
        <w:rPr>
          <w:lang w:eastAsia="el-GR"/>
        </w:rPr>
      </w:pPr>
      <w:r>
        <w:rPr>
          <w:lang w:eastAsia="el-GR"/>
        </w:rPr>
        <w:t xml:space="preserve">Όσον αφορά στις περιπτώσεις ακαδημαϊκής </w:t>
      </w:r>
      <w:proofErr w:type="spellStart"/>
      <w:r>
        <w:rPr>
          <w:lang w:eastAsia="el-GR"/>
        </w:rPr>
        <w:t>υποεπίδοσης</w:t>
      </w:r>
      <w:proofErr w:type="spellEnd"/>
      <w:r>
        <w:rPr>
          <w:lang w:eastAsia="el-GR"/>
        </w:rPr>
        <w:t xml:space="preserve">, παρατηρήθηκε ισοδύναμη εκπροσώπηση των δύο φύλων, τόσο στο Δημοτικό, όσο και στο Γυμνάσιο, με τα αγόρια του δείγματος να παρουσιάζουν </w:t>
      </w:r>
      <w:proofErr w:type="spellStart"/>
      <w:r>
        <w:rPr>
          <w:lang w:eastAsia="el-GR"/>
        </w:rPr>
        <w:t>υποεπίδοση</w:t>
      </w:r>
      <w:proofErr w:type="spellEnd"/>
      <w:r>
        <w:rPr>
          <w:lang w:eastAsia="el-GR"/>
        </w:rPr>
        <w:t xml:space="preserve"> σε ελαφρώς μεγαλύτερη συχνότητα (Βλ. Πίνακας 6). Από την περαιτέρω διερεύνηση της συγκεκριμένης διαφοράς με </w:t>
      </w:r>
      <w:proofErr w:type="spellStart"/>
      <w:r>
        <w:rPr>
          <w:lang w:eastAsia="el-GR"/>
        </w:rPr>
        <w:t>μονοπαραγοντική</w:t>
      </w:r>
      <w:proofErr w:type="spellEnd"/>
      <w:r>
        <w:rPr>
          <w:lang w:eastAsia="el-GR"/>
        </w:rPr>
        <w:t xml:space="preserve"> ανάλυση διακύμανσης διαπιστώθηκε ότι οι διαφορές στη διακύμανση του μεγέθους της </w:t>
      </w:r>
      <w:proofErr w:type="spellStart"/>
      <w:r>
        <w:rPr>
          <w:lang w:eastAsia="el-GR"/>
        </w:rPr>
        <w:t>υποεπίδοσης</w:t>
      </w:r>
      <w:proofErr w:type="spellEnd"/>
      <w:r>
        <w:rPr>
          <w:lang w:eastAsia="el-GR"/>
        </w:rPr>
        <w:t xml:space="preserve"> μεταξύ αγοριών και κοριτσιών δεν ήταν στατιστικά σημαντικές, με </w:t>
      </w:r>
      <w:r w:rsidRPr="00B43A70">
        <w:rPr>
          <w:i/>
          <w:lang w:val="en-US" w:eastAsia="el-GR"/>
        </w:rPr>
        <w:t>F</w:t>
      </w:r>
      <w:r w:rsidRPr="00B43A70">
        <w:rPr>
          <w:lang w:eastAsia="el-GR"/>
        </w:rPr>
        <w:t xml:space="preserve">(1,24) = </w:t>
      </w:r>
      <w:r>
        <w:rPr>
          <w:lang w:eastAsia="el-GR"/>
        </w:rPr>
        <w:t xml:space="preserve">0,96, </w:t>
      </w:r>
      <w:r w:rsidRPr="00B43A70">
        <w:rPr>
          <w:i/>
          <w:lang w:val="en-US" w:eastAsia="el-GR"/>
        </w:rPr>
        <w:t>p</w:t>
      </w:r>
      <w:r w:rsidRPr="00B43A70">
        <w:rPr>
          <w:lang w:eastAsia="el-GR"/>
        </w:rPr>
        <w:t>&gt; 0,05</w:t>
      </w:r>
      <w:r>
        <w:rPr>
          <w:lang w:eastAsia="el-GR"/>
        </w:rPr>
        <w:t xml:space="preserve"> για τους μαθητές Δημοτικού και </w:t>
      </w:r>
      <w:r w:rsidRPr="005E262E">
        <w:rPr>
          <w:i/>
          <w:lang w:val="en-US" w:eastAsia="el-GR"/>
        </w:rPr>
        <w:t>F</w:t>
      </w:r>
      <w:r w:rsidRPr="005E262E">
        <w:rPr>
          <w:lang w:eastAsia="el-GR"/>
        </w:rPr>
        <w:t xml:space="preserve">(1,34) = </w:t>
      </w:r>
      <w:r>
        <w:rPr>
          <w:lang w:eastAsia="el-GR"/>
        </w:rPr>
        <w:t xml:space="preserve">3,77, </w:t>
      </w:r>
      <w:r w:rsidRPr="005E262E">
        <w:rPr>
          <w:i/>
          <w:lang w:val="en-US" w:eastAsia="el-GR"/>
        </w:rPr>
        <w:t>p</w:t>
      </w:r>
      <w:r w:rsidRPr="005E262E">
        <w:rPr>
          <w:lang w:eastAsia="el-GR"/>
        </w:rPr>
        <w:t>&gt; 0,05</w:t>
      </w:r>
      <w:r>
        <w:rPr>
          <w:lang w:eastAsia="el-GR"/>
        </w:rPr>
        <w:t xml:space="preserve"> για τους μαθητές Γυμνασίου</w:t>
      </w:r>
      <w:r w:rsidRPr="00B43A70">
        <w:rPr>
          <w:lang w:eastAsia="el-GR"/>
        </w:rPr>
        <w:t>.</w:t>
      </w:r>
    </w:p>
    <w:p w14:paraId="3FB30512" w14:textId="77777777" w:rsidR="00EC35AC" w:rsidRDefault="00EC35AC" w:rsidP="007136D3">
      <w:pPr>
        <w:pStyle w:val="8"/>
        <w:rPr>
          <w:lang w:eastAsia="el-GR"/>
        </w:rPr>
      </w:pPr>
      <w:r>
        <w:rPr>
          <w:lang w:eastAsia="el-GR"/>
        </w:rPr>
        <w:t xml:space="preserve">Αντίστοιχα, αμφότερες η </w:t>
      </w:r>
      <w:proofErr w:type="spellStart"/>
      <w:r>
        <w:rPr>
          <w:lang w:eastAsia="el-GR"/>
        </w:rPr>
        <w:t>υποεπίδοση</w:t>
      </w:r>
      <w:proofErr w:type="spellEnd"/>
      <w:r>
        <w:rPr>
          <w:lang w:eastAsia="el-GR"/>
        </w:rPr>
        <w:t xml:space="preserve"> και η </w:t>
      </w:r>
      <w:proofErr w:type="spellStart"/>
      <w:r>
        <w:rPr>
          <w:lang w:eastAsia="el-GR"/>
        </w:rPr>
        <w:t>υπερεπίδοση</w:t>
      </w:r>
      <w:proofErr w:type="spellEnd"/>
      <w:r>
        <w:rPr>
          <w:lang w:eastAsia="el-GR"/>
        </w:rPr>
        <w:t xml:space="preserve"> βρέθηκαν να αφορούν μαθητές τόσο ελληνικής, όσο και μειονοτικής πολιτισμικής καταγωγής (Βλ. Πίνακας 6). Η συμπληρωματική εφαρμογή </w:t>
      </w:r>
      <w:proofErr w:type="spellStart"/>
      <w:r>
        <w:rPr>
          <w:lang w:eastAsia="el-GR"/>
        </w:rPr>
        <w:t>μονοπαραγοντικής</w:t>
      </w:r>
      <w:proofErr w:type="spellEnd"/>
      <w:r>
        <w:rPr>
          <w:lang w:eastAsia="el-GR"/>
        </w:rPr>
        <w:t xml:space="preserve"> ανάλυσης διακύμανσης κατέδειξε ότι τυχόν διαφορές στην </w:t>
      </w:r>
      <w:proofErr w:type="spellStart"/>
      <w:r>
        <w:rPr>
          <w:lang w:eastAsia="el-GR"/>
        </w:rPr>
        <w:t>υποεπίδοση</w:t>
      </w:r>
      <w:proofErr w:type="spellEnd"/>
      <w:r>
        <w:rPr>
          <w:lang w:eastAsia="el-GR"/>
        </w:rPr>
        <w:t xml:space="preserve"> των αλλοδαπών και των ημεδαπών μαθητών δεν ήταν στατιστικά σημαντικές, με </w:t>
      </w:r>
      <w:r w:rsidRPr="005E262E">
        <w:rPr>
          <w:i/>
          <w:lang w:val="en-US" w:eastAsia="el-GR"/>
        </w:rPr>
        <w:t>F</w:t>
      </w:r>
      <w:r>
        <w:rPr>
          <w:lang w:eastAsia="el-GR"/>
        </w:rPr>
        <w:t>(2,23</w:t>
      </w:r>
      <w:r w:rsidRPr="005E262E">
        <w:rPr>
          <w:lang w:eastAsia="el-GR"/>
        </w:rPr>
        <w:t>) =</w:t>
      </w:r>
      <w:r>
        <w:rPr>
          <w:lang w:eastAsia="el-GR"/>
        </w:rPr>
        <w:t xml:space="preserve"> 0,51, </w:t>
      </w:r>
      <w:r w:rsidRPr="005E262E">
        <w:rPr>
          <w:i/>
          <w:lang w:val="en-US" w:eastAsia="el-GR"/>
        </w:rPr>
        <w:t>p</w:t>
      </w:r>
      <w:r w:rsidRPr="005E262E">
        <w:rPr>
          <w:lang w:eastAsia="el-GR"/>
        </w:rPr>
        <w:t>&gt; 0,05</w:t>
      </w:r>
      <w:r>
        <w:rPr>
          <w:lang w:eastAsia="el-GR"/>
        </w:rPr>
        <w:t xml:space="preserve"> για το δείγμα των μαθητών Δημοτικού και </w:t>
      </w:r>
      <w:r w:rsidRPr="005E262E">
        <w:rPr>
          <w:i/>
          <w:lang w:val="en-US" w:eastAsia="el-GR"/>
        </w:rPr>
        <w:t>F</w:t>
      </w:r>
      <w:r w:rsidRPr="005E262E">
        <w:rPr>
          <w:lang w:eastAsia="el-GR"/>
        </w:rPr>
        <w:t>(</w:t>
      </w:r>
      <w:r>
        <w:rPr>
          <w:lang w:eastAsia="el-GR"/>
        </w:rPr>
        <w:t xml:space="preserve">2,32) = 0,52, </w:t>
      </w:r>
      <w:r w:rsidRPr="005E262E">
        <w:rPr>
          <w:i/>
          <w:lang w:val="en-US" w:eastAsia="el-GR"/>
        </w:rPr>
        <w:t>p</w:t>
      </w:r>
      <w:r>
        <w:rPr>
          <w:lang w:eastAsia="el-GR"/>
        </w:rPr>
        <w:t>&gt; 0,05 για τους έφηβους μαθητές.</w:t>
      </w:r>
    </w:p>
    <w:p w14:paraId="51D65429" w14:textId="77777777" w:rsidR="007A3C4E" w:rsidRDefault="007A3C4E" w:rsidP="007136D3">
      <w:pPr>
        <w:pStyle w:val="8"/>
        <w:rPr>
          <w:lang w:eastAsia="el-GR"/>
        </w:rPr>
      </w:pPr>
    </w:p>
    <w:p w14:paraId="266793D2" w14:textId="77777777" w:rsidR="007A3C4E" w:rsidRDefault="007A3C4E" w:rsidP="007136D3">
      <w:pPr>
        <w:pStyle w:val="8"/>
        <w:rPr>
          <w:lang w:eastAsia="el-GR"/>
        </w:rPr>
      </w:pPr>
    </w:p>
    <w:p w14:paraId="6E9E9A7B" w14:textId="77777777" w:rsidR="00C30844" w:rsidRPr="00BC36A8" w:rsidRDefault="00C30844" w:rsidP="007136D3">
      <w:pPr>
        <w:pStyle w:val="8"/>
        <w:rPr>
          <w:lang w:eastAsia="el-GR"/>
        </w:rPr>
      </w:pPr>
    </w:p>
    <w:p w14:paraId="55994D8E" w14:textId="77777777" w:rsidR="00EC35AC" w:rsidRPr="00E9752A" w:rsidRDefault="00EC35AC" w:rsidP="00EC35AC">
      <w:pPr>
        <w:rPr>
          <w:lang w:eastAsia="el-GR"/>
        </w:rPr>
      </w:pPr>
      <w:r w:rsidRPr="00E9752A">
        <w:rPr>
          <w:lang w:eastAsia="el-GR"/>
        </w:rPr>
        <w:t>Πίνακας 6.</w:t>
      </w:r>
    </w:p>
    <w:tbl>
      <w:tblPr>
        <w:tblpPr w:leftFromText="180" w:rightFromText="180" w:vertAnchor="text" w:horzAnchor="margin" w:tblpY="674"/>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312"/>
        <w:gridCol w:w="1078"/>
        <w:gridCol w:w="1605"/>
        <w:gridCol w:w="709"/>
        <w:gridCol w:w="1559"/>
      </w:tblGrid>
      <w:tr w:rsidR="00EC35AC" w:rsidRPr="00E9752A" w14:paraId="4C5CC4D0" w14:textId="77777777" w:rsidTr="00EC35AC">
        <w:trPr>
          <w:trHeight w:val="412"/>
        </w:trPr>
        <w:tc>
          <w:tcPr>
            <w:tcW w:w="1560" w:type="dxa"/>
            <w:tcBorders>
              <w:top w:val="single" w:sz="4" w:space="0" w:color="auto"/>
              <w:left w:val="nil"/>
              <w:bottom w:val="nil"/>
              <w:right w:val="nil"/>
            </w:tcBorders>
            <w:vAlign w:val="center"/>
          </w:tcPr>
          <w:p w14:paraId="75411793" w14:textId="77777777" w:rsidR="00EC35AC" w:rsidRPr="00E9752A" w:rsidRDefault="00EC35AC" w:rsidP="00EC35AC">
            <w:pPr>
              <w:rPr>
                <w:rFonts w:eastAsia="Calibri"/>
              </w:rPr>
            </w:pPr>
          </w:p>
        </w:tc>
        <w:tc>
          <w:tcPr>
            <w:tcW w:w="2312" w:type="dxa"/>
            <w:tcBorders>
              <w:top w:val="single" w:sz="4" w:space="0" w:color="auto"/>
              <w:left w:val="nil"/>
              <w:bottom w:val="nil"/>
              <w:right w:val="nil"/>
            </w:tcBorders>
            <w:vAlign w:val="center"/>
          </w:tcPr>
          <w:p w14:paraId="5D325E2F" w14:textId="77777777" w:rsidR="00EC35AC" w:rsidRPr="00E9752A" w:rsidRDefault="00EC35AC" w:rsidP="00EC35AC">
            <w:pPr>
              <w:rPr>
                <w:rFonts w:eastAsia="Calibri"/>
              </w:rPr>
            </w:pPr>
          </w:p>
        </w:tc>
        <w:tc>
          <w:tcPr>
            <w:tcW w:w="2683" w:type="dxa"/>
            <w:gridSpan w:val="2"/>
            <w:tcBorders>
              <w:top w:val="single" w:sz="8" w:space="0" w:color="auto"/>
              <w:left w:val="nil"/>
              <w:right w:val="nil"/>
            </w:tcBorders>
          </w:tcPr>
          <w:p w14:paraId="70540D9C" w14:textId="77777777" w:rsidR="00EC35AC" w:rsidRPr="00E9752A" w:rsidRDefault="00EC35AC" w:rsidP="00EC35AC">
            <w:pPr>
              <w:rPr>
                <w:rFonts w:eastAsia="Calibri"/>
                <w:b/>
              </w:rPr>
            </w:pPr>
            <w:r w:rsidRPr="00E9752A">
              <w:rPr>
                <w:rFonts w:eastAsia="Calibri"/>
                <w:b/>
              </w:rPr>
              <w:t>Δημοτικό</w:t>
            </w:r>
          </w:p>
        </w:tc>
        <w:tc>
          <w:tcPr>
            <w:tcW w:w="2268" w:type="dxa"/>
            <w:gridSpan w:val="2"/>
            <w:tcBorders>
              <w:top w:val="single" w:sz="8" w:space="0" w:color="auto"/>
              <w:left w:val="nil"/>
              <w:right w:val="nil"/>
            </w:tcBorders>
          </w:tcPr>
          <w:p w14:paraId="639B0006" w14:textId="77777777" w:rsidR="00EC35AC" w:rsidRPr="00E9752A" w:rsidRDefault="00EC35AC" w:rsidP="00EC35AC">
            <w:pPr>
              <w:rPr>
                <w:rFonts w:eastAsia="Calibri"/>
                <w:b/>
              </w:rPr>
            </w:pPr>
            <w:r w:rsidRPr="00E9752A">
              <w:rPr>
                <w:rFonts w:eastAsia="Calibri"/>
                <w:b/>
              </w:rPr>
              <w:t>Γυμνάσιο</w:t>
            </w:r>
          </w:p>
        </w:tc>
      </w:tr>
      <w:tr w:rsidR="00EC35AC" w:rsidRPr="00E9752A" w14:paraId="503E73A3" w14:textId="77777777" w:rsidTr="00EC35AC">
        <w:trPr>
          <w:trHeight w:val="275"/>
        </w:trPr>
        <w:tc>
          <w:tcPr>
            <w:tcW w:w="1560" w:type="dxa"/>
            <w:tcBorders>
              <w:top w:val="nil"/>
              <w:left w:val="nil"/>
              <w:bottom w:val="single" w:sz="8" w:space="0" w:color="auto"/>
              <w:right w:val="nil"/>
            </w:tcBorders>
            <w:vAlign w:val="center"/>
          </w:tcPr>
          <w:p w14:paraId="1DF74937" w14:textId="77777777" w:rsidR="00EC35AC" w:rsidRPr="00E9752A" w:rsidRDefault="00EC35AC" w:rsidP="00EC35AC">
            <w:pPr>
              <w:rPr>
                <w:rFonts w:eastAsia="Calibri"/>
              </w:rPr>
            </w:pPr>
          </w:p>
        </w:tc>
        <w:tc>
          <w:tcPr>
            <w:tcW w:w="2312" w:type="dxa"/>
            <w:tcBorders>
              <w:top w:val="nil"/>
              <w:left w:val="nil"/>
              <w:bottom w:val="single" w:sz="8" w:space="0" w:color="auto"/>
              <w:right w:val="nil"/>
            </w:tcBorders>
            <w:vAlign w:val="center"/>
          </w:tcPr>
          <w:p w14:paraId="32C07ACE" w14:textId="77777777" w:rsidR="00EC35AC" w:rsidRPr="00E9752A" w:rsidRDefault="00EC35AC" w:rsidP="00EC35AC">
            <w:pPr>
              <w:rPr>
                <w:rFonts w:eastAsia="Calibri"/>
              </w:rPr>
            </w:pPr>
          </w:p>
        </w:tc>
        <w:tc>
          <w:tcPr>
            <w:tcW w:w="1078" w:type="dxa"/>
            <w:tcBorders>
              <w:top w:val="single" w:sz="8" w:space="0" w:color="auto"/>
              <w:left w:val="nil"/>
              <w:right w:val="nil"/>
            </w:tcBorders>
          </w:tcPr>
          <w:p w14:paraId="1D33F0AD" w14:textId="77777777" w:rsidR="00EC35AC" w:rsidRPr="00E9752A" w:rsidRDefault="00EC35AC" w:rsidP="00EC35AC">
            <w:pPr>
              <w:rPr>
                <w:rFonts w:eastAsia="Calibri"/>
              </w:rPr>
            </w:pPr>
            <w:r w:rsidRPr="00E9752A">
              <w:rPr>
                <w:rFonts w:eastAsia="Calibri"/>
              </w:rPr>
              <w:t>Ν</w:t>
            </w:r>
          </w:p>
        </w:tc>
        <w:tc>
          <w:tcPr>
            <w:tcW w:w="1605" w:type="dxa"/>
            <w:tcBorders>
              <w:top w:val="single" w:sz="8" w:space="0" w:color="auto"/>
              <w:left w:val="nil"/>
              <w:right w:val="nil"/>
            </w:tcBorders>
          </w:tcPr>
          <w:p w14:paraId="6CA4ED65" w14:textId="77777777" w:rsidR="00EC35AC" w:rsidRPr="00E9752A" w:rsidRDefault="00EC35AC" w:rsidP="00EC35AC">
            <w:pPr>
              <w:rPr>
                <w:rFonts w:eastAsia="Calibri"/>
              </w:rPr>
            </w:pPr>
            <w:r w:rsidRPr="00E9752A">
              <w:rPr>
                <w:rFonts w:eastAsia="Calibri"/>
              </w:rPr>
              <w:t>Ποσοστό %</w:t>
            </w:r>
          </w:p>
        </w:tc>
        <w:tc>
          <w:tcPr>
            <w:tcW w:w="709" w:type="dxa"/>
            <w:tcBorders>
              <w:top w:val="single" w:sz="8" w:space="0" w:color="auto"/>
              <w:left w:val="nil"/>
              <w:right w:val="nil"/>
            </w:tcBorders>
          </w:tcPr>
          <w:p w14:paraId="0E341FA6" w14:textId="77777777" w:rsidR="00EC35AC" w:rsidRPr="00E9752A" w:rsidRDefault="00EC35AC" w:rsidP="00EC35AC">
            <w:pPr>
              <w:rPr>
                <w:rFonts w:eastAsia="Calibri"/>
              </w:rPr>
            </w:pPr>
            <w:r w:rsidRPr="00E9752A">
              <w:rPr>
                <w:rFonts w:eastAsia="Calibri"/>
                <w:lang w:val="en-US"/>
              </w:rPr>
              <w:t>N</w:t>
            </w:r>
          </w:p>
        </w:tc>
        <w:tc>
          <w:tcPr>
            <w:tcW w:w="1559" w:type="dxa"/>
            <w:tcBorders>
              <w:top w:val="single" w:sz="8" w:space="0" w:color="auto"/>
              <w:left w:val="nil"/>
              <w:right w:val="nil"/>
            </w:tcBorders>
          </w:tcPr>
          <w:p w14:paraId="00AEE2C6" w14:textId="77777777" w:rsidR="00EC35AC" w:rsidRPr="00E9752A" w:rsidRDefault="00EC35AC" w:rsidP="00EC35AC">
            <w:pPr>
              <w:rPr>
                <w:rFonts w:eastAsia="Calibri"/>
              </w:rPr>
            </w:pPr>
            <w:r w:rsidRPr="00E9752A">
              <w:rPr>
                <w:rFonts w:eastAsia="Calibri"/>
              </w:rPr>
              <w:t>Ποσοστό %</w:t>
            </w:r>
          </w:p>
        </w:tc>
      </w:tr>
      <w:tr w:rsidR="00EC35AC" w:rsidRPr="00E9752A" w14:paraId="2DF716C4" w14:textId="77777777" w:rsidTr="00EC35AC">
        <w:trPr>
          <w:trHeight w:val="535"/>
        </w:trPr>
        <w:tc>
          <w:tcPr>
            <w:tcW w:w="1560" w:type="dxa"/>
            <w:vMerge w:val="restart"/>
            <w:tcBorders>
              <w:top w:val="single" w:sz="8" w:space="0" w:color="auto"/>
              <w:left w:val="nil"/>
              <w:right w:val="nil"/>
            </w:tcBorders>
          </w:tcPr>
          <w:p w14:paraId="06E7066B" w14:textId="77777777" w:rsidR="00EC35AC" w:rsidRPr="00E9752A" w:rsidRDefault="00EC35AC" w:rsidP="00EC35AC">
            <w:pPr>
              <w:rPr>
                <w:rFonts w:eastAsia="Calibri"/>
              </w:rPr>
            </w:pPr>
            <w:r w:rsidRPr="00E9752A">
              <w:rPr>
                <w:rFonts w:eastAsia="Calibri"/>
              </w:rPr>
              <w:t>Φύλο</w:t>
            </w:r>
          </w:p>
          <w:p w14:paraId="67EDD969" w14:textId="77777777" w:rsidR="00EC35AC" w:rsidRPr="00E9752A" w:rsidRDefault="00EC35AC" w:rsidP="00EC35AC">
            <w:pPr>
              <w:ind w:right="-453"/>
              <w:rPr>
                <w:rFonts w:eastAsia="Calibri"/>
              </w:rPr>
            </w:pPr>
          </w:p>
        </w:tc>
        <w:tc>
          <w:tcPr>
            <w:tcW w:w="2312" w:type="dxa"/>
            <w:tcBorders>
              <w:top w:val="single" w:sz="8" w:space="0" w:color="auto"/>
              <w:left w:val="nil"/>
              <w:right w:val="nil"/>
            </w:tcBorders>
          </w:tcPr>
          <w:p w14:paraId="2ABA873C" w14:textId="77777777" w:rsidR="00EC35AC" w:rsidRPr="00E9752A" w:rsidRDefault="00EC35AC" w:rsidP="00EC35AC">
            <w:pPr>
              <w:rPr>
                <w:rFonts w:eastAsia="Calibri"/>
              </w:rPr>
            </w:pPr>
            <w:r w:rsidRPr="00E9752A">
              <w:rPr>
                <w:rFonts w:eastAsia="Calibri"/>
              </w:rPr>
              <w:t>Αγόρι</w:t>
            </w:r>
          </w:p>
          <w:p w14:paraId="50E2C676" w14:textId="77777777" w:rsidR="00EC35AC" w:rsidRPr="00E9752A" w:rsidRDefault="00EC35AC" w:rsidP="00EC35AC">
            <w:pPr>
              <w:rPr>
                <w:rFonts w:eastAsia="Calibri"/>
              </w:rPr>
            </w:pPr>
            <w:r w:rsidRPr="00E9752A">
              <w:rPr>
                <w:rFonts w:eastAsia="Calibri"/>
              </w:rPr>
              <w:t>Κορίτσι</w:t>
            </w:r>
          </w:p>
        </w:tc>
        <w:tc>
          <w:tcPr>
            <w:tcW w:w="1078" w:type="dxa"/>
            <w:tcBorders>
              <w:top w:val="single" w:sz="8" w:space="0" w:color="auto"/>
              <w:left w:val="nil"/>
              <w:right w:val="nil"/>
            </w:tcBorders>
          </w:tcPr>
          <w:p w14:paraId="26E48984" w14:textId="77777777" w:rsidR="00EC35AC" w:rsidRPr="00E9752A" w:rsidRDefault="00EC35AC" w:rsidP="00EC35AC">
            <w:pPr>
              <w:rPr>
                <w:rFonts w:eastAsia="Calibri"/>
              </w:rPr>
            </w:pPr>
            <w:r w:rsidRPr="00E9752A">
              <w:rPr>
                <w:rFonts w:eastAsia="Calibri"/>
              </w:rPr>
              <w:t>14</w:t>
            </w:r>
          </w:p>
          <w:p w14:paraId="287C4EF7" w14:textId="77777777" w:rsidR="00EC35AC" w:rsidRPr="00E9752A" w:rsidRDefault="00EC35AC" w:rsidP="00EC35AC">
            <w:pPr>
              <w:rPr>
                <w:rFonts w:eastAsia="Calibri"/>
              </w:rPr>
            </w:pPr>
            <w:r w:rsidRPr="00E9752A">
              <w:rPr>
                <w:rFonts w:eastAsia="Calibri"/>
              </w:rPr>
              <w:t>12</w:t>
            </w:r>
          </w:p>
        </w:tc>
        <w:tc>
          <w:tcPr>
            <w:tcW w:w="1605" w:type="dxa"/>
            <w:tcBorders>
              <w:top w:val="single" w:sz="8" w:space="0" w:color="auto"/>
              <w:left w:val="nil"/>
              <w:right w:val="nil"/>
            </w:tcBorders>
          </w:tcPr>
          <w:p w14:paraId="43EE348B" w14:textId="77777777" w:rsidR="00EC35AC" w:rsidRPr="00E9752A" w:rsidRDefault="00EC35AC" w:rsidP="00EC35AC">
            <w:pPr>
              <w:rPr>
                <w:rFonts w:eastAsia="Calibri"/>
              </w:rPr>
            </w:pPr>
            <w:r w:rsidRPr="00E9752A">
              <w:rPr>
                <w:rFonts w:eastAsia="Calibri"/>
              </w:rPr>
              <w:t>53,8</w:t>
            </w:r>
          </w:p>
          <w:p w14:paraId="24629808" w14:textId="77777777" w:rsidR="00EC35AC" w:rsidRPr="00E9752A" w:rsidRDefault="00EC35AC" w:rsidP="00EC35AC">
            <w:pPr>
              <w:rPr>
                <w:rFonts w:eastAsia="Calibri"/>
              </w:rPr>
            </w:pPr>
            <w:r w:rsidRPr="00E9752A">
              <w:rPr>
                <w:rFonts w:eastAsia="Calibri"/>
              </w:rPr>
              <w:t>46,2</w:t>
            </w:r>
          </w:p>
        </w:tc>
        <w:tc>
          <w:tcPr>
            <w:tcW w:w="709" w:type="dxa"/>
            <w:tcBorders>
              <w:top w:val="single" w:sz="8" w:space="0" w:color="auto"/>
              <w:left w:val="nil"/>
              <w:right w:val="nil"/>
            </w:tcBorders>
          </w:tcPr>
          <w:p w14:paraId="756F3515" w14:textId="77777777" w:rsidR="00EC35AC" w:rsidRPr="00E9752A" w:rsidRDefault="00EC35AC" w:rsidP="00EC35AC">
            <w:pPr>
              <w:rPr>
                <w:rFonts w:eastAsia="Calibri"/>
              </w:rPr>
            </w:pPr>
            <w:r w:rsidRPr="00E9752A">
              <w:rPr>
                <w:rFonts w:eastAsia="Calibri"/>
              </w:rPr>
              <w:t>19</w:t>
            </w:r>
            <w:r w:rsidRPr="00E9752A">
              <w:rPr>
                <w:rFonts w:eastAsia="Calibri"/>
              </w:rPr>
              <w:br/>
              <w:t>16</w:t>
            </w:r>
          </w:p>
        </w:tc>
        <w:tc>
          <w:tcPr>
            <w:tcW w:w="1559" w:type="dxa"/>
            <w:tcBorders>
              <w:top w:val="single" w:sz="8" w:space="0" w:color="auto"/>
              <w:left w:val="nil"/>
              <w:right w:val="nil"/>
            </w:tcBorders>
          </w:tcPr>
          <w:p w14:paraId="46546016" w14:textId="77777777" w:rsidR="00EC35AC" w:rsidRPr="00E9752A" w:rsidRDefault="00EC35AC" w:rsidP="00EC35AC">
            <w:pPr>
              <w:rPr>
                <w:rFonts w:eastAsia="Calibri"/>
              </w:rPr>
            </w:pPr>
            <w:r w:rsidRPr="00E9752A">
              <w:rPr>
                <w:rFonts w:eastAsia="Calibri"/>
              </w:rPr>
              <w:t xml:space="preserve"> 54,3</w:t>
            </w:r>
            <w:r w:rsidRPr="00E9752A">
              <w:rPr>
                <w:rFonts w:eastAsia="Calibri"/>
              </w:rPr>
              <w:br/>
              <w:t xml:space="preserve"> 45,7</w:t>
            </w:r>
          </w:p>
        </w:tc>
      </w:tr>
      <w:tr w:rsidR="00EC35AC" w:rsidRPr="00E9752A" w14:paraId="0884C21E" w14:textId="77777777" w:rsidTr="00EC35AC">
        <w:trPr>
          <w:trHeight w:val="256"/>
        </w:trPr>
        <w:tc>
          <w:tcPr>
            <w:tcW w:w="1560" w:type="dxa"/>
            <w:vMerge/>
            <w:tcBorders>
              <w:left w:val="nil"/>
              <w:bottom w:val="single" w:sz="8" w:space="0" w:color="auto"/>
              <w:right w:val="nil"/>
            </w:tcBorders>
          </w:tcPr>
          <w:p w14:paraId="7B3130D2" w14:textId="77777777" w:rsidR="00EC35AC" w:rsidRPr="00E9752A" w:rsidRDefault="00EC35AC" w:rsidP="00EC35AC">
            <w:pPr>
              <w:rPr>
                <w:rFonts w:eastAsia="Calibri"/>
              </w:rPr>
            </w:pPr>
          </w:p>
        </w:tc>
        <w:tc>
          <w:tcPr>
            <w:tcW w:w="2312" w:type="dxa"/>
            <w:tcBorders>
              <w:left w:val="nil"/>
              <w:bottom w:val="single" w:sz="8" w:space="0" w:color="auto"/>
              <w:right w:val="nil"/>
            </w:tcBorders>
          </w:tcPr>
          <w:p w14:paraId="292ADD67" w14:textId="77777777" w:rsidR="00EC35AC" w:rsidRPr="00E9752A" w:rsidRDefault="00EC35AC" w:rsidP="00EC35AC">
            <w:pPr>
              <w:rPr>
                <w:rFonts w:eastAsia="Calibri"/>
              </w:rPr>
            </w:pPr>
            <w:r w:rsidRPr="00E9752A">
              <w:rPr>
                <w:rFonts w:eastAsia="Calibri"/>
              </w:rPr>
              <w:t xml:space="preserve"> Σύνολο</w:t>
            </w:r>
          </w:p>
        </w:tc>
        <w:tc>
          <w:tcPr>
            <w:tcW w:w="1078" w:type="dxa"/>
            <w:tcBorders>
              <w:left w:val="nil"/>
              <w:bottom w:val="single" w:sz="8" w:space="0" w:color="auto"/>
              <w:right w:val="nil"/>
            </w:tcBorders>
          </w:tcPr>
          <w:p w14:paraId="6C7C8EA8" w14:textId="77777777" w:rsidR="00EC35AC" w:rsidRPr="00E9752A" w:rsidRDefault="00EC35AC" w:rsidP="00EC35AC">
            <w:pPr>
              <w:rPr>
                <w:rFonts w:eastAsia="Calibri"/>
              </w:rPr>
            </w:pPr>
            <w:r w:rsidRPr="00E9752A">
              <w:rPr>
                <w:rFonts w:eastAsia="Calibri"/>
              </w:rPr>
              <w:t>26</w:t>
            </w:r>
          </w:p>
        </w:tc>
        <w:tc>
          <w:tcPr>
            <w:tcW w:w="1605" w:type="dxa"/>
            <w:tcBorders>
              <w:left w:val="nil"/>
              <w:bottom w:val="single" w:sz="8" w:space="0" w:color="auto"/>
              <w:right w:val="nil"/>
            </w:tcBorders>
          </w:tcPr>
          <w:p w14:paraId="0179C5DC" w14:textId="77777777" w:rsidR="00EC35AC" w:rsidRPr="00E9752A" w:rsidRDefault="00EC35AC" w:rsidP="00EC35AC">
            <w:pPr>
              <w:rPr>
                <w:rFonts w:eastAsia="Calibri"/>
              </w:rPr>
            </w:pPr>
            <w:r w:rsidRPr="00E9752A">
              <w:rPr>
                <w:rFonts w:eastAsia="Calibri"/>
              </w:rPr>
              <w:t>100</w:t>
            </w:r>
          </w:p>
        </w:tc>
        <w:tc>
          <w:tcPr>
            <w:tcW w:w="709" w:type="dxa"/>
            <w:tcBorders>
              <w:left w:val="nil"/>
              <w:bottom w:val="single" w:sz="8" w:space="0" w:color="auto"/>
              <w:right w:val="nil"/>
            </w:tcBorders>
          </w:tcPr>
          <w:p w14:paraId="37A84218" w14:textId="77777777" w:rsidR="00EC35AC" w:rsidRPr="00E9752A" w:rsidRDefault="00EC35AC" w:rsidP="00EC35AC">
            <w:pPr>
              <w:rPr>
                <w:rFonts w:eastAsia="Calibri"/>
              </w:rPr>
            </w:pPr>
            <w:r w:rsidRPr="00E9752A">
              <w:rPr>
                <w:rFonts w:eastAsia="Calibri"/>
              </w:rPr>
              <w:t>35</w:t>
            </w:r>
          </w:p>
        </w:tc>
        <w:tc>
          <w:tcPr>
            <w:tcW w:w="1559" w:type="dxa"/>
            <w:tcBorders>
              <w:left w:val="nil"/>
              <w:bottom w:val="single" w:sz="8" w:space="0" w:color="auto"/>
              <w:right w:val="nil"/>
            </w:tcBorders>
          </w:tcPr>
          <w:p w14:paraId="4CFC5CE6" w14:textId="77777777" w:rsidR="00EC35AC" w:rsidRPr="00E9752A" w:rsidRDefault="00EC35AC" w:rsidP="00EC35AC">
            <w:pPr>
              <w:rPr>
                <w:rFonts w:eastAsia="Calibri"/>
              </w:rPr>
            </w:pPr>
            <w:r w:rsidRPr="00E9752A">
              <w:rPr>
                <w:rFonts w:eastAsia="Calibri"/>
              </w:rPr>
              <w:t xml:space="preserve"> 100</w:t>
            </w:r>
          </w:p>
        </w:tc>
      </w:tr>
      <w:tr w:rsidR="00EC35AC" w:rsidRPr="00E9752A" w14:paraId="776C7F3E" w14:textId="77777777" w:rsidTr="00EC35AC">
        <w:trPr>
          <w:trHeight w:val="533"/>
        </w:trPr>
        <w:tc>
          <w:tcPr>
            <w:tcW w:w="1560" w:type="dxa"/>
            <w:vMerge w:val="restart"/>
            <w:tcBorders>
              <w:top w:val="single" w:sz="8" w:space="0" w:color="auto"/>
              <w:left w:val="nil"/>
              <w:right w:val="nil"/>
            </w:tcBorders>
          </w:tcPr>
          <w:p w14:paraId="6817B537" w14:textId="77777777" w:rsidR="00EC35AC" w:rsidRPr="00E9752A" w:rsidRDefault="00EC35AC" w:rsidP="00EC35AC">
            <w:pPr>
              <w:rPr>
                <w:rFonts w:eastAsia="Calibri"/>
              </w:rPr>
            </w:pPr>
            <w:r w:rsidRPr="00E9752A">
              <w:rPr>
                <w:rFonts w:eastAsia="Calibri"/>
              </w:rPr>
              <w:t>Εθνικότητα</w:t>
            </w:r>
          </w:p>
          <w:p w14:paraId="708FE149" w14:textId="77777777" w:rsidR="00EC35AC" w:rsidRPr="00E9752A" w:rsidRDefault="00EC35AC" w:rsidP="00EC35AC">
            <w:pPr>
              <w:rPr>
                <w:rFonts w:eastAsia="Calibri"/>
              </w:rPr>
            </w:pPr>
          </w:p>
        </w:tc>
        <w:tc>
          <w:tcPr>
            <w:tcW w:w="2312" w:type="dxa"/>
            <w:tcBorders>
              <w:top w:val="single" w:sz="8" w:space="0" w:color="auto"/>
              <w:left w:val="nil"/>
              <w:right w:val="nil"/>
            </w:tcBorders>
          </w:tcPr>
          <w:p w14:paraId="5AC29359" w14:textId="77777777" w:rsidR="00EC35AC" w:rsidRPr="00E9752A" w:rsidRDefault="00EC35AC" w:rsidP="00EC35AC">
            <w:pPr>
              <w:rPr>
                <w:rFonts w:eastAsia="Calibri"/>
              </w:rPr>
            </w:pPr>
            <w:r w:rsidRPr="00E9752A">
              <w:rPr>
                <w:rFonts w:eastAsia="Calibri"/>
              </w:rPr>
              <w:t xml:space="preserve"> Έλληνες</w:t>
            </w:r>
          </w:p>
          <w:p w14:paraId="759B9179" w14:textId="77777777" w:rsidR="00EC35AC" w:rsidRPr="00E9752A" w:rsidRDefault="00EC35AC" w:rsidP="00EC35AC">
            <w:pPr>
              <w:rPr>
                <w:rFonts w:eastAsia="Calibri"/>
              </w:rPr>
            </w:pPr>
            <w:r w:rsidRPr="00E9752A">
              <w:rPr>
                <w:rFonts w:eastAsia="Calibri"/>
              </w:rPr>
              <w:t>Αλλοδαποί</w:t>
            </w:r>
          </w:p>
        </w:tc>
        <w:tc>
          <w:tcPr>
            <w:tcW w:w="1078" w:type="dxa"/>
            <w:tcBorders>
              <w:top w:val="single" w:sz="8" w:space="0" w:color="auto"/>
              <w:left w:val="nil"/>
              <w:right w:val="nil"/>
            </w:tcBorders>
          </w:tcPr>
          <w:p w14:paraId="6C28CE7C" w14:textId="77777777" w:rsidR="00EC35AC" w:rsidRPr="00E9752A" w:rsidRDefault="00EC35AC" w:rsidP="00EC35AC">
            <w:pPr>
              <w:rPr>
                <w:rFonts w:eastAsia="Calibri"/>
              </w:rPr>
            </w:pPr>
            <w:r w:rsidRPr="00E9752A">
              <w:rPr>
                <w:rFonts w:eastAsia="Calibri"/>
              </w:rPr>
              <w:t>11</w:t>
            </w:r>
          </w:p>
          <w:p w14:paraId="74864AE1" w14:textId="77777777" w:rsidR="00EC35AC" w:rsidRPr="00E9752A" w:rsidRDefault="00EC35AC" w:rsidP="00EC35AC">
            <w:pPr>
              <w:rPr>
                <w:rFonts w:eastAsia="Calibri"/>
              </w:rPr>
            </w:pPr>
            <w:r w:rsidRPr="00E9752A">
              <w:rPr>
                <w:rFonts w:eastAsia="Calibri"/>
              </w:rPr>
              <w:t>15</w:t>
            </w:r>
          </w:p>
        </w:tc>
        <w:tc>
          <w:tcPr>
            <w:tcW w:w="1605" w:type="dxa"/>
            <w:tcBorders>
              <w:top w:val="single" w:sz="8" w:space="0" w:color="auto"/>
              <w:left w:val="nil"/>
              <w:right w:val="nil"/>
            </w:tcBorders>
          </w:tcPr>
          <w:p w14:paraId="5EF37FDD" w14:textId="77777777" w:rsidR="00EC35AC" w:rsidRPr="00E9752A" w:rsidRDefault="00EC35AC" w:rsidP="00EC35AC">
            <w:pPr>
              <w:rPr>
                <w:rFonts w:eastAsia="Calibri"/>
              </w:rPr>
            </w:pPr>
            <w:r w:rsidRPr="00E9752A">
              <w:rPr>
                <w:rFonts w:eastAsia="Calibri"/>
              </w:rPr>
              <w:t>42,3</w:t>
            </w:r>
          </w:p>
          <w:p w14:paraId="3E7D314E" w14:textId="77777777" w:rsidR="00EC35AC" w:rsidRPr="00E9752A" w:rsidRDefault="00EC35AC" w:rsidP="00EC35AC">
            <w:pPr>
              <w:rPr>
                <w:rFonts w:eastAsia="Calibri"/>
              </w:rPr>
            </w:pPr>
            <w:r w:rsidRPr="00E9752A">
              <w:rPr>
                <w:rFonts w:eastAsia="Calibri"/>
              </w:rPr>
              <w:t>57,7</w:t>
            </w:r>
          </w:p>
        </w:tc>
        <w:tc>
          <w:tcPr>
            <w:tcW w:w="709" w:type="dxa"/>
            <w:tcBorders>
              <w:top w:val="single" w:sz="8" w:space="0" w:color="auto"/>
              <w:left w:val="nil"/>
              <w:right w:val="nil"/>
            </w:tcBorders>
          </w:tcPr>
          <w:p w14:paraId="63D94604" w14:textId="77777777" w:rsidR="00EC35AC" w:rsidRPr="00E9752A" w:rsidRDefault="00EC35AC" w:rsidP="00EC35AC">
            <w:pPr>
              <w:rPr>
                <w:rFonts w:eastAsia="Calibri"/>
              </w:rPr>
            </w:pPr>
            <w:r w:rsidRPr="00E9752A">
              <w:rPr>
                <w:rFonts w:eastAsia="Calibri"/>
              </w:rPr>
              <w:t>24</w:t>
            </w:r>
            <w:r w:rsidRPr="00E9752A">
              <w:rPr>
                <w:rFonts w:eastAsia="Calibri"/>
              </w:rPr>
              <w:br/>
              <w:t>11</w:t>
            </w:r>
          </w:p>
        </w:tc>
        <w:tc>
          <w:tcPr>
            <w:tcW w:w="1559" w:type="dxa"/>
            <w:tcBorders>
              <w:top w:val="single" w:sz="8" w:space="0" w:color="auto"/>
              <w:left w:val="nil"/>
              <w:right w:val="nil"/>
            </w:tcBorders>
          </w:tcPr>
          <w:p w14:paraId="215FE8A3" w14:textId="77777777" w:rsidR="00EC35AC" w:rsidRPr="00E9752A" w:rsidRDefault="00EC35AC" w:rsidP="00EC35AC">
            <w:pPr>
              <w:rPr>
                <w:rFonts w:eastAsia="Calibri"/>
              </w:rPr>
            </w:pPr>
            <w:r w:rsidRPr="00E9752A">
              <w:rPr>
                <w:rFonts w:eastAsia="Calibri"/>
              </w:rPr>
              <w:t xml:space="preserve"> 68,6</w:t>
            </w:r>
            <w:r w:rsidRPr="00E9752A">
              <w:rPr>
                <w:rFonts w:eastAsia="Calibri"/>
              </w:rPr>
              <w:br/>
              <w:t xml:space="preserve"> 31,5</w:t>
            </w:r>
          </w:p>
        </w:tc>
      </w:tr>
      <w:tr w:rsidR="00EC35AC" w:rsidRPr="00E9752A" w14:paraId="5577F7AF" w14:textId="77777777" w:rsidTr="00EC35AC">
        <w:trPr>
          <w:trHeight w:val="253"/>
        </w:trPr>
        <w:tc>
          <w:tcPr>
            <w:tcW w:w="1560" w:type="dxa"/>
            <w:vMerge/>
            <w:tcBorders>
              <w:left w:val="nil"/>
              <w:bottom w:val="single" w:sz="4" w:space="0" w:color="auto"/>
              <w:right w:val="nil"/>
            </w:tcBorders>
          </w:tcPr>
          <w:p w14:paraId="185A590C" w14:textId="77777777" w:rsidR="00EC35AC" w:rsidRPr="00E9752A" w:rsidRDefault="00EC35AC" w:rsidP="00EC35AC">
            <w:pPr>
              <w:rPr>
                <w:rFonts w:eastAsia="Calibri"/>
              </w:rPr>
            </w:pPr>
          </w:p>
        </w:tc>
        <w:tc>
          <w:tcPr>
            <w:tcW w:w="2312" w:type="dxa"/>
            <w:tcBorders>
              <w:left w:val="nil"/>
              <w:bottom w:val="single" w:sz="4" w:space="0" w:color="auto"/>
              <w:right w:val="nil"/>
            </w:tcBorders>
          </w:tcPr>
          <w:p w14:paraId="5D16EE02" w14:textId="77777777" w:rsidR="00EC35AC" w:rsidRPr="00E9752A" w:rsidRDefault="00EC35AC" w:rsidP="00EC35AC">
            <w:pPr>
              <w:rPr>
                <w:rFonts w:eastAsia="Calibri"/>
              </w:rPr>
            </w:pPr>
            <w:r w:rsidRPr="00E9752A">
              <w:rPr>
                <w:rFonts w:eastAsia="Calibri"/>
              </w:rPr>
              <w:t xml:space="preserve"> Σύνολο</w:t>
            </w:r>
          </w:p>
        </w:tc>
        <w:tc>
          <w:tcPr>
            <w:tcW w:w="1078" w:type="dxa"/>
            <w:tcBorders>
              <w:left w:val="nil"/>
              <w:bottom w:val="single" w:sz="4" w:space="0" w:color="auto"/>
              <w:right w:val="nil"/>
            </w:tcBorders>
          </w:tcPr>
          <w:p w14:paraId="53B5BBF6" w14:textId="77777777" w:rsidR="00EC35AC" w:rsidRPr="00E9752A" w:rsidRDefault="00EC35AC" w:rsidP="00EC35AC">
            <w:pPr>
              <w:rPr>
                <w:rFonts w:eastAsia="Calibri"/>
              </w:rPr>
            </w:pPr>
            <w:r w:rsidRPr="00E9752A">
              <w:rPr>
                <w:rFonts w:eastAsia="Calibri"/>
              </w:rPr>
              <w:t>26</w:t>
            </w:r>
          </w:p>
        </w:tc>
        <w:tc>
          <w:tcPr>
            <w:tcW w:w="1605" w:type="dxa"/>
            <w:tcBorders>
              <w:left w:val="nil"/>
              <w:bottom w:val="single" w:sz="4" w:space="0" w:color="auto"/>
              <w:right w:val="nil"/>
            </w:tcBorders>
          </w:tcPr>
          <w:p w14:paraId="7DF8A228" w14:textId="77777777" w:rsidR="00EC35AC" w:rsidRPr="00E9752A" w:rsidRDefault="00EC35AC" w:rsidP="00EC35AC">
            <w:pPr>
              <w:rPr>
                <w:rFonts w:eastAsia="Calibri"/>
              </w:rPr>
            </w:pPr>
            <w:r w:rsidRPr="00E9752A">
              <w:rPr>
                <w:rFonts w:eastAsia="Calibri"/>
              </w:rPr>
              <w:t>100</w:t>
            </w:r>
          </w:p>
        </w:tc>
        <w:tc>
          <w:tcPr>
            <w:tcW w:w="709" w:type="dxa"/>
            <w:tcBorders>
              <w:left w:val="nil"/>
              <w:bottom w:val="single" w:sz="4" w:space="0" w:color="auto"/>
              <w:right w:val="nil"/>
            </w:tcBorders>
          </w:tcPr>
          <w:p w14:paraId="4671D7E9" w14:textId="77777777" w:rsidR="00EC35AC" w:rsidRPr="00E9752A" w:rsidRDefault="00EC35AC" w:rsidP="00EC35AC">
            <w:pPr>
              <w:rPr>
                <w:rFonts w:eastAsia="Calibri"/>
              </w:rPr>
            </w:pPr>
            <w:r w:rsidRPr="00E9752A">
              <w:rPr>
                <w:rFonts w:eastAsia="Calibri"/>
              </w:rPr>
              <w:t xml:space="preserve">35    </w:t>
            </w:r>
          </w:p>
        </w:tc>
        <w:tc>
          <w:tcPr>
            <w:tcW w:w="1559" w:type="dxa"/>
            <w:tcBorders>
              <w:left w:val="nil"/>
              <w:bottom w:val="single" w:sz="4" w:space="0" w:color="auto"/>
              <w:right w:val="nil"/>
            </w:tcBorders>
          </w:tcPr>
          <w:p w14:paraId="1874D765" w14:textId="77777777" w:rsidR="00EC35AC" w:rsidRPr="00E9752A" w:rsidRDefault="00EC35AC" w:rsidP="00EC35AC">
            <w:pPr>
              <w:rPr>
                <w:rFonts w:eastAsia="Calibri"/>
              </w:rPr>
            </w:pPr>
            <w:r w:rsidRPr="00E9752A">
              <w:rPr>
                <w:rFonts w:eastAsia="Calibri"/>
              </w:rPr>
              <w:t>100</w:t>
            </w:r>
          </w:p>
        </w:tc>
      </w:tr>
    </w:tbl>
    <w:p w14:paraId="7665E50A" w14:textId="77777777" w:rsidR="00EC35AC" w:rsidRPr="00E9752A" w:rsidRDefault="00EC35AC" w:rsidP="00EC35AC">
      <w:pPr>
        <w:rPr>
          <w:lang w:eastAsia="el-GR"/>
        </w:rPr>
      </w:pPr>
      <w:r w:rsidRPr="00E9752A">
        <w:rPr>
          <w:lang w:eastAsia="el-GR"/>
        </w:rPr>
        <w:t>Κατανομή των μαθητών με ακαδημαϊκή υποεπίδοση κατά φύλο και εθνικότητα</w:t>
      </w:r>
    </w:p>
    <w:p w14:paraId="3E10A320" w14:textId="77777777" w:rsidR="00EC35AC" w:rsidRPr="00440DC1" w:rsidRDefault="00EC35AC" w:rsidP="00EC35AC">
      <w:pPr>
        <w:spacing w:line="360" w:lineRule="auto"/>
        <w:ind w:firstLine="720"/>
        <w:jc w:val="both"/>
        <w:rPr>
          <w:rFonts w:ascii="Times New Roman" w:hAnsi="Times New Roman"/>
          <w:szCs w:val="24"/>
          <w:lang w:eastAsia="el-GR"/>
        </w:rPr>
      </w:pPr>
    </w:p>
    <w:p w14:paraId="1F4ECB15" w14:textId="77777777" w:rsidR="0063614E" w:rsidRDefault="0063614E" w:rsidP="007136D3">
      <w:pPr>
        <w:pStyle w:val="8"/>
        <w:rPr>
          <w:lang w:eastAsia="el-GR"/>
        </w:rPr>
      </w:pPr>
    </w:p>
    <w:p w14:paraId="2CD1B0E8" w14:textId="77777777" w:rsidR="00EC35AC" w:rsidRDefault="00EC35AC" w:rsidP="007136D3">
      <w:pPr>
        <w:pStyle w:val="8"/>
        <w:rPr>
          <w:lang w:eastAsia="el-GR"/>
        </w:rPr>
      </w:pPr>
      <w:r>
        <w:rPr>
          <w:lang w:eastAsia="el-GR"/>
        </w:rPr>
        <w:t xml:space="preserve">Σε σχέση με τις περιπτώσεις μαθητών με ακαδημαϊκή επίδοση μεγαλύτερη της αναμενόμενης διαπιστώθηκε </w:t>
      </w:r>
      <w:proofErr w:type="spellStart"/>
      <w:r>
        <w:rPr>
          <w:lang w:eastAsia="el-GR"/>
        </w:rPr>
        <w:t>υπερεκπροσώπηση</w:t>
      </w:r>
      <w:proofErr w:type="spellEnd"/>
      <w:r>
        <w:rPr>
          <w:lang w:eastAsia="el-GR"/>
        </w:rPr>
        <w:t xml:space="preserve"> των κοριτσιών για το συγκεκριμένο δείγμα (Βλ. Πίνακας 7). Παρόλα αυτά, από την περαιτέρω διερεύνηση του ευρήματος με </w:t>
      </w:r>
      <w:proofErr w:type="spellStart"/>
      <w:r>
        <w:rPr>
          <w:lang w:eastAsia="el-GR"/>
        </w:rPr>
        <w:t>μονοπαραγοντική</w:t>
      </w:r>
      <w:proofErr w:type="spellEnd"/>
      <w:r>
        <w:rPr>
          <w:lang w:eastAsia="el-GR"/>
        </w:rPr>
        <w:t xml:space="preserve"> ανάλυση διακύμανσης προέκυψε ότι οι διαφορές στην </w:t>
      </w:r>
      <w:proofErr w:type="spellStart"/>
      <w:r>
        <w:rPr>
          <w:lang w:eastAsia="el-GR"/>
        </w:rPr>
        <w:t>υπερεπίδοση</w:t>
      </w:r>
      <w:proofErr w:type="spellEnd"/>
      <w:r>
        <w:rPr>
          <w:lang w:eastAsia="el-GR"/>
        </w:rPr>
        <w:t xml:space="preserve"> ανάλογα με το φύλο των μαθητών δεν ήταν στατιστικά σημαντικές, με </w:t>
      </w:r>
      <w:r w:rsidRPr="00B06587">
        <w:rPr>
          <w:i/>
          <w:lang w:val="en-US" w:eastAsia="el-GR"/>
        </w:rPr>
        <w:t>F</w:t>
      </w:r>
      <w:r w:rsidRPr="00B06587">
        <w:rPr>
          <w:lang w:eastAsia="el-GR"/>
        </w:rPr>
        <w:t xml:space="preserve">(1,12) = </w:t>
      </w:r>
      <w:r>
        <w:rPr>
          <w:lang w:eastAsia="el-GR"/>
        </w:rPr>
        <w:t xml:space="preserve">0,06, </w:t>
      </w:r>
      <w:r w:rsidRPr="00B06587">
        <w:rPr>
          <w:i/>
          <w:lang w:val="en-US" w:eastAsia="el-GR"/>
        </w:rPr>
        <w:t>p</w:t>
      </w:r>
      <w:r w:rsidRPr="00B06587">
        <w:rPr>
          <w:lang w:eastAsia="el-GR"/>
        </w:rPr>
        <w:t>&gt; 0,05</w:t>
      </w:r>
      <w:r>
        <w:rPr>
          <w:lang w:eastAsia="el-GR"/>
        </w:rPr>
        <w:t xml:space="preserve"> για τους μαθητές </w:t>
      </w:r>
      <w:proofErr w:type="spellStart"/>
      <w:r>
        <w:rPr>
          <w:lang w:eastAsia="el-GR"/>
        </w:rPr>
        <w:t>Δημοτικούκαι</w:t>
      </w:r>
      <w:proofErr w:type="spellEnd"/>
      <w:r>
        <w:rPr>
          <w:lang w:eastAsia="el-GR"/>
        </w:rPr>
        <w:t xml:space="preserve"> </w:t>
      </w:r>
      <w:r w:rsidRPr="00B06587">
        <w:rPr>
          <w:i/>
          <w:lang w:val="en-US" w:eastAsia="el-GR"/>
        </w:rPr>
        <w:t>F</w:t>
      </w:r>
      <w:r>
        <w:rPr>
          <w:lang w:eastAsia="el-GR"/>
        </w:rPr>
        <w:t xml:space="preserve">(1,23) = 2,19, </w:t>
      </w:r>
      <w:r w:rsidRPr="00B06587">
        <w:rPr>
          <w:i/>
          <w:lang w:val="en-US" w:eastAsia="el-GR"/>
        </w:rPr>
        <w:t>p</w:t>
      </w:r>
      <w:r w:rsidRPr="00B06587">
        <w:rPr>
          <w:lang w:eastAsia="el-GR"/>
        </w:rPr>
        <w:t>&gt; 0,05</w:t>
      </w:r>
      <w:r>
        <w:rPr>
          <w:lang w:eastAsia="el-GR"/>
        </w:rPr>
        <w:t xml:space="preserve"> για τους μαθητές Γυμνασίου.</w:t>
      </w:r>
    </w:p>
    <w:p w14:paraId="037C8AAD" w14:textId="77777777" w:rsidR="00735415" w:rsidRDefault="00EC35AC" w:rsidP="007136D3">
      <w:pPr>
        <w:pStyle w:val="8"/>
        <w:rPr>
          <w:lang w:eastAsia="el-GR"/>
        </w:rPr>
      </w:pPr>
      <w:r>
        <w:rPr>
          <w:lang w:eastAsia="el-GR"/>
        </w:rPr>
        <w:t xml:space="preserve">Σε παρόμοια αποτελέσματα οδήγησαν οι διαδοχικές </w:t>
      </w:r>
      <w:proofErr w:type="spellStart"/>
      <w:r>
        <w:rPr>
          <w:lang w:eastAsia="el-GR"/>
        </w:rPr>
        <w:t>μονοπαραγοντικές</w:t>
      </w:r>
      <w:proofErr w:type="spellEnd"/>
      <w:r>
        <w:rPr>
          <w:lang w:eastAsia="el-GR"/>
        </w:rPr>
        <w:t xml:space="preserve"> αναλύσεις διακύμανσης για τον έλεγχο των διαφορών στην </w:t>
      </w:r>
      <w:proofErr w:type="spellStart"/>
      <w:r>
        <w:rPr>
          <w:lang w:eastAsia="el-GR"/>
        </w:rPr>
        <w:t>υπερεπίδοση</w:t>
      </w:r>
      <w:proofErr w:type="spellEnd"/>
      <w:r>
        <w:rPr>
          <w:lang w:eastAsia="el-GR"/>
        </w:rPr>
        <w:t xml:space="preserve"> μεταξύ ημεδαπών και αλλοδαπών μαθητών. Οι διαφορές αυτές φάνηκαν να είναι μη στατιστικά σημαντικές τόσο για τους μαθητές Δημοτικού (</w:t>
      </w:r>
      <w:r w:rsidRPr="00B06587">
        <w:rPr>
          <w:i/>
          <w:lang w:val="en-US" w:eastAsia="el-GR"/>
        </w:rPr>
        <w:t>F</w:t>
      </w:r>
      <w:r>
        <w:rPr>
          <w:lang w:eastAsia="el-GR"/>
        </w:rPr>
        <w:t xml:space="preserve">(2,11) = 3,96, </w:t>
      </w:r>
      <w:r w:rsidRPr="00B06587">
        <w:rPr>
          <w:i/>
          <w:lang w:val="en-US" w:eastAsia="el-GR"/>
        </w:rPr>
        <w:t>p</w:t>
      </w:r>
      <w:r w:rsidRPr="00B06587">
        <w:rPr>
          <w:lang w:eastAsia="el-GR"/>
        </w:rPr>
        <w:t>&gt; 0,05)</w:t>
      </w:r>
      <w:r>
        <w:rPr>
          <w:lang w:eastAsia="el-GR"/>
        </w:rPr>
        <w:t>, όσο και για τους μαθητές Γυμνασίου (</w:t>
      </w:r>
      <w:r w:rsidRPr="00B06587">
        <w:rPr>
          <w:i/>
          <w:lang w:val="en-US" w:eastAsia="el-GR"/>
        </w:rPr>
        <w:t>F</w:t>
      </w:r>
      <w:r w:rsidRPr="00B06587">
        <w:rPr>
          <w:lang w:eastAsia="el-GR"/>
        </w:rPr>
        <w:t>(</w:t>
      </w:r>
      <w:r>
        <w:rPr>
          <w:lang w:eastAsia="el-GR"/>
        </w:rPr>
        <w:t xml:space="preserve">2,22) = 0,92, </w:t>
      </w:r>
      <w:r w:rsidRPr="00B06587">
        <w:rPr>
          <w:i/>
          <w:lang w:val="en-US" w:eastAsia="el-GR"/>
        </w:rPr>
        <w:t>p</w:t>
      </w:r>
      <w:r w:rsidRPr="00B06587">
        <w:rPr>
          <w:lang w:eastAsia="el-GR"/>
        </w:rPr>
        <w:t>&gt; 0,05).</w:t>
      </w:r>
    </w:p>
    <w:p w14:paraId="5BE0D2E2" w14:textId="77777777" w:rsidR="0063614E" w:rsidRDefault="0063614E" w:rsidP="007136D3">
      <w:pPr>
        <w:pStyle w:val="8"/>
        <w:rPr>
          <w:lang w:eastAsia="el-GR"/>
        </w:rPr>
      </w:pPr>
    </w:p>
    <w:p w14:paraId="5B06FF3E" w14:textId="77777777" w:rsidR="00EC35AC" w:rsidRPr="00E9752A" w:rsidRDefault="00EC35AC" w:rsidP="00EC35AC">
      <w:pPr>
        <w:rPr>
          <w:lang w:eastAsia="el-GR"/>
        </w:rPr>
      </w:pPr>
      <w:r w:rsidRPr="00E9752A">
        <w:rPr>
          <w:lang w:eastAsia="el-GR"/>
        </w:rPr>
        <w:t>Πίνακας 7.</w:t>
      </w:r>
    </w:p>
    <w:p w14:paraId="367AD0E1" w14:textId="77777777" w:rsidR="00EC35AC" w:rsidRPr="00E9752A" w:rsidRDefault="00EC35AC" w:rsidP="00EC35AC">
      <w:pPr>
        <w:rPr>
          <w:lang w:eastAsia="el-GR"/>
        </w:rPr>
      </w:pPr>
      <w:r w:rsidRPr="00E9752A">
        <w:rPr>
          <w:lang w:eastAsia="el-GR"/>
        </w:rPr>
        <w:t>Κατανομή των μαθητών με ακαδημαϊκή υπερεπίδοση κατά φύλο και εθνικότητα</w:t>
      </w:r>
    </w:p>
    <w:tbl>
      <w:tblPr>
        <w:tblpPr w:leftFromText="180" w:rightFromText="180" w:vertAnchor="text" w:horzAnchor="margin" w:tblpY="114"/>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312"/>
        <w:gridCol w:w="1078"/>
        <w:gridCol w:w="1605"/>
        <w:gridCol w:w="709"/>
        <w:gridCol w:w="1559"/>
      </w:tblGrid>
      <w:tr w:rsidR="00EC35AC" w:rsidRPr="00BC5AFD" w14:paraId="00600339" w14:textId="77777777" w:rsidTr="00EC35AC">
        <w:trPr>
          <w:trHeight w:val="259"/>
        </w:trPr>
        <w:tc>
          <w:tcPr>
            <w:tcW w:w="1350" w:type="dxa"/>
            <w:tcBorders>
              <w:top w:val="single" w:sz="4" w:space="0" w:color="auto"/>
              <w:left w:val="nil"/>
              <w:bottom w:val="nil"/>
              <w:right w:val="nil"/>
            </w:tcBorders>
            <w:vAlign w:val="center"/>
          </w:tcPr>
          <w:p w14:paraId="20AC1C09" w14:textId="77777777" w:rsidR="00EC35AC" w:rsidRPr="00BC5AFD" w:rsidRDefault="00EC35AC" w:rsidP="00EC35AC">
            <w:pPr>
              <w:rPr>
                <w:rFonts w:ascii="Times New Roman" w:eastAsia="Calibri" w:hAnsi="Times New Roman"/>
              </w:rPr>
            </w:pPr>
          </w:p>
        </w:tc>
        <w:tc>
          <w:tcPr>
            <w:tcW w:w="2312" w:type="dxa"/>
            <w:tcBorders>
              <w:top w:val="single" w:sz="4" w:space="0" w:color="auto"/>
              <w:left w:val="nil"/>
              <w:bottom w:val="nil"/>
              <w:right w:val="nil"/>
            </w:tcBorders>
            <w:vAlign w:val="center"/>
          </w:tcPr>
          <w:p w14:paraId="05BC4603" w14:textId="77777777" w:rsidR="00EC35AC" w:rsidRPr="00BC5AFD" w:rsidRDefault="00EC35AC" w:rsidP="00EC35AC">
            <w:pPr>
              <w:jc w:val="both"/>
              <w:rPr>
                <w:rFonts w:ascii="Times New Roman" w:eastAsia="Calibri" w:hAnsi="Times New Roman"/>
              </w:rPr>
            </w:pPr>
          </w:p>
        </w:tc>
        <w:tc>
          <w:tcPr>
            <w:tcW w:w="2683" w:type="dxa"/>
            <w:gridSpan w:val="2"/>
            <w:tcBorders>
              <w:top w:val="single" w:sz="8" w:space="0" w:color="auto"/>
              <w:left w:val="nil"/>
              <w:right w:val="nil"/>
            </w:tcBorders>
          </w:tcPr>
          <w:p w14:paraId="22D6922C" w14:textId="77777777" w:rsidR="00EC35AC" w:rsidRPr="000C7F51" w:rsidRDefault="00EC35AC" w:rsidP="00EC35AC">
            <w:pPr>
              <w:jc w:val="center"/>
              <w:rPr>
                <w:rFonts w:ascii="Times New Roman" w:eastAsia="Calibri" w:hAnsi="Times New Roman"/>
                <w:b/>
              </w:rPr>
            </w:pPr>
            <w:r w:rsidRPr="000C7F51">
              <w:rPr>
                <w:rFonts w:ascii="Times New Roman" w:eastAsia="Calibri" w:hAnsi="Times New Roman"/>
                <w:b/>
              </w:rPr>
              <w:t>Δημοτικό</w:t>
            </w:r>
          </w:p>
        </w:tc>
        <w:tc>
          <w:tcPr>
            <w:tcW w:w="2268" w:type="dxa"/>
            <w:gridSpan w:val="2"/>
            <w:tcBorders>
              <w:top w:val="single" w:sz="8" w:space="0" w:color="auto"/>
              <w:left w:val="nil"/>
              <w:right w:val="nil"/>
            </w:tcBorders>
          </w:tcPr>
          <w:p w14:paraId="1CB2547D" w14:textId="77777777" w:rsidR="00EC35AC" w:rsidRPr="000C7F51" w:rsidRDefault="00EC35AC" w:rsidP="00EC35AC">
            <w:pPr>
              <w:jc w:val="center"/>
              <w:rPr>
                <w:rFonts w:ascii="Times New Roman" w:eastAsia="Calibri" w:hAnsi="Times New Roman"/>
                <w:b/>
              </w:rPr>
            </w:pPr>
            <w:r w:rsidRPr="000C7F51">
              <w:rPr>
                <w:rFonts w:ascii="Times New Roman" w:eastAsia="Calibri" w:hAnsi="Times New Roman"/>
                <w:b/>
              </w:rPr>
              <w:t>Γυμνάσιο</w:t>
            </w:r>
          </w:p>
        </w:tc>
      </w:tr>
      <w:tr w:rsidR="00EC35AC" w:rsidRPr="00BC5AFD" w14:paraId="116B9A44" w14:textId="77777777" w:rsidTr="00EC35AC">
        <w:trPr>
          <w:trHeight w:val="264"/>
        </w:trPr>
        <w:tc>
          <w:tcPr>
            <w:tcW w:w="1350" w:type="dxa"/>
            <w:tcBorders>
              <w:top w:val="nil"/>
              <w:left w:val="nil"/>
              <w:bottom w:val="single" w:sz="8" w:space="0" w:color="auto"/>
              <w:right w:val="nil"/>
            </w:tcBorders>
            <w:vAlign w:val="center"/>
          </w:tcPr>
          <w:p w14:paraId="7E6863F1" w14:textId="77777777" w:rsidR="00EC35AC" w:rsidRPr="00BC5AFD" w:rsidRDefault="00EC35AC" w:rsidP="00EC35AC">
            <w:pPr>
              <w:rPr>
                <w:rFonts w:ascii="Times New Roman" w:eastAsia="Calibri" w:hAnsi="Times New Roman"/>
              </w:rPr>
            </w:pPr>
          </w:p>
        </w:tc>
        <w:tc>
          <w:tcPr>
            <w:tcW w:w="2312" w:type="dxa"/>
            <w:tcBorders>
              <w:top w:val="nil"/>
              <w:left w:val="nil"/>
              <w:bottom w:val="single" w:sz="8" w:space="0" w:color="auto"/>
              <w:right w:val="nil"/>
            </w:tcBorders>
            <w:vAlign w:val="center"/>
          </w:tcPr>
          <w:p w14:paraId="05CF0446" w14:textId="77777777" w:rsidR="00EC35AC" w:rsidRPr="00BC5AFD" w:rsidRDefault="00EC35AC" w:rsidP="00EC35AC">
            <w:pPr>
              <w:jc w:val="both"/>
              <w:rPr>
                <w:rFonts w:ascii="Times New Roman" w:eastAsia="Calibri" w:hAnsi="Times New Roman"/>
              </w:rPr>
            </w:pPr>
          </w:p>
        </w:tc>
        <w:tc>
          <w:tcPr>
            <w:tcW w:w="1078" w:type="dxa"/>
            <w:tcBorders>
              <w:top w:val="single" w:sz="8" w:space="0" w:color="auto"/>
              <w:left w:val="nil"/>
              <w:right w:val="nil"/>
            </w:tcBorders>
          </w:tcPr>
          <w:p w14:paraId="71E3ACB2" w14:textId="77777777" w:rsidR="00EC35AC" w:rsidRPr="00A07F1F" w:rsidRDefault="00EC35AC" w:rsidP="00EC35AC">
            <w:pPr>
              <w:rPr>
                <w:rFonts w:ascii="Times New Roman" w:eastAsia="Calibri" w:hAnsi="Times New Roman"/>
                <w:i/>
              </w:rPr>
            </w:pPr>
            <w:r w:rsidRPr="00A07F1F">
              <w:rPr>
                <w:rFonts w:ascii="Times New Roman" w:eastAsia="Calibri" w:hAnsi="Times New Roman"/>
                <w:i/>
              </w:rPr>
              <w:t>Ν</w:t>
            </w:r>
          </w:p>
        </w:tc>
        <w:tc>
          <w:tcPr>
            <w:tcW w:w="1605" w:type="dxa"/>
            <w:tcBorders>
              <w:top w:val="single" w:sz="8" w:space="0" w:color="auto"/>
              <w:left w:val="nil"/>
              <w:right w:val="nil"/>
            </w:tcBorders>
          </w:tcPr>
          <w:p w14:paraId="46651C81" w14:textId="77777777" w:rsidR="00EC35AC" w:rsidRPr="00BC5AFD" w:rsidRDefault="00EC35AC" w:rsidP="00EC35AC">
            <w:pPr>
              <w:jc w:val="both"/>
              <w:rPr>
                <w:rFonts w:ascii="Times New Roman" w:eastAsia="Calibri" w:hAnsi="Times New Roman"/>
              </w:rPr>
            </w:pPr>
            <w:r>
              <w:rPr>
                <w:rFonts w:ascii="Times New Roman" w:eastAsia="Calibri" w:hAnsi="Times New Roman"/>
              </w:rPr>
              <w:t>Ποσοστό %</w:t>
            </w:r>
          </w:p>
        </w:tc>
        <w:tc>
          <w:tcPr>
            <w:tcW w:w="709" w:type="dxa"/>
            <w:tcBorders>
              <w:top w:val="single" w:sz="8" w:space="0" w:color="auto"/>
              <w:left w:val="nil"/>
              <w:right w:val="nil"/>
            </w:tcBorders>
          </w:tcPr>
          <w:p w14:paraId="300353CF" w14:textId="77777777" w:rsidR="00EC35AC" w:rsidRPr="00A07F1F" w:rsidRDefault="00EC35AC" w:rsidP="00EC35AC">
            <w:pPr>
              <w:jc w:val="both"/>
              <w:rPr>
                <w:rFonts w:ascii="Times New Roman" w:eastAsia="Calibri" w:hAnsi="Times New Roman"/>
                <w:i/>
                <w:lang w:val="en-US"/>
              </w:rPr>
            </w:pPr>
            <w:r w:rsidRPr="00A07F1F">
              <w:rPr>
                <w:rFonts w:ascii="Times New Roman" w:eastAsia="Calibri" w:hAnsi="Times New Roman"/>
                <w:i/>
                <w:lang w:val="en-US"/>
              </w:rPr>
              <w:t>N</w:t>
            </w:r>
          </w:p>
        </w:tc>
        <w:tc>
          <w:tcPr>
            <w:tcW w:w="1559" w:type="dxa"/>
            <w:tcBorders>
              <w:top w:val="single" w:sz="8" w:space="0" w:color="auto"/>
              <w:left w:val="nil"/>
              <w:right w:val="nil"/>
            </w:tcBorders>
          </w:tcPr>
          <w:p w14:paraId="0AB308F7" w14:textId="77777777" w:rsidR="00EC35AC" w:rsidRPr="000C7F51" w:rsidRDefault="00EC35AC" w:rsidP="00EC35AC">
            <w:pPr>
              <w:jc w:val="both"/>
              <w:rPr>
                <w:rFonts w:ascii="Times New Roman" w:eastAsia="Calibri" w:hAnsi="Times New Roman"/>
              </w:rPr>
            </w:pPr>
            <w:r>
              <w:rPr>
                <w:rFonts w:ascii="Times New Roman" w:eastAsia="Calibri" w:hAnsi="Times New Roman"/>
              </w:rPr>
              <w:t>Ποσοστό %</w:t>
            </w:r>
          </w:p>
        </w:tc>
      </w:tr>
      <w:tr w:rsidR="00EC35AC" w:rsidRPr="00BC5AFD" w14:paraId="26A0FE13" w14:textId="77777777" w:rsidTr="00EC35AC">
        <w:trPr>
          <w:trHeight w:val="537"/>
        </w:trPr>
        <w:tc>
          <w:tcPr>
            <w:tcW w:w="1350" w:type="dxa"/>
            <w:vMerge w:val="restart"/>
            <w:tcBorders>
              <w:top w:val="single" w:sz="8" w:space="0" w:color="auto"/>
              <w:left w:val="nil"/>
              <w:right w:val="nil"/>
            </w:tcBorders>
          </w:tcPr>
          <w:p w14:paraId="6809CE76"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Φύλο</w:t>
            </w:r>
          </w:p>
          <w:p w14:paraId="5B4261B4" w14:textId="77777777" w:rsidR="00EC35AC" w:rsidRPr="00BC5AFD" w:rsidRDefault="00EC35AC" w:rsidP="00EC35AC">
            <w:pPr>
              <w:ind w:left="851"/>
              <w:jc w:val="both"/>
              <w:rPr>
                <w:rFonts w:ascii="Times New Roman" w:eastAsia="Calibri" w:hAnsi="Times New Roman"/>
              </w:rPr>
            </w:pPr>
          </w:p>
        </w:tc>
        <w:tc>
          <w:tcPr>
            <w:tcW w:w="2312" w:type="dxa"/>
            <w:tcBorders>
              <w:top w:val="single" w:sz="8" w:space="0" w:color="auto"/>
              <w:left w:val="nil"/>
              <w:right w:val="nil"/>
            </w:tcBorders>
          </w:tcPr>
          <w:p w14:paraId="1CAB1241"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Αγόρι</w:t>
            </w:r>
          </w:p>
          <w:p w14:paraId="69E8159D"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Κορίτσι</w:t>
            </w:r>
          </w:p>
        </w:tc>
        <w:tc>
          <w:tcPr>
            <w:tcW w:w="1078" w:type="dxa"/>
            <w:tcBorders>
              <w:top w:val="single" w:sz="8" w:space="0" w:color="auto"/>
              <w:left w:val="nil"/>
              <w:right w:val="nil"/>
            </w:tcBorders>
          </w:tcPr>
          <w:p w14:paraId="07920540" w14:textId="77777777" w:rsidR="00EC35AC" w:rsidRPr="00BC5AFD" w:rsidRDefault="00EC35AC" w:rsidP="00EC35AC">
            <w:pPr>
              <w:rPr>
                <w:rFonts w:ascii="Times New Roman" w:eastAsia="Calibri" w:hAnsi="Times New Roman"/>
              </w:rPr>
            </w:pPr>
            <w:r>
              <w:rPr>
                <w:rFonts w:ascii="Times New Roman" w:eastAsia="Calibri" w:hAnsi="Times New Roman"/>
              </w:rPr>
              <w:t>5</w:t>
            </w:r>
          </w:p>
          <w:p w14:paraId="07E01A3B" w14:textId="77777777" w:rsidR="00EC35AC" w:rsidRPr="00BC5AFD" w:rsidRDefault="00EC35AC" w:rsidP="00EC35AC">
            <w:pPr>
              <w:rPr>
                <w:rFonts w:ascii="Times New Roman" w:eastAsia="Calibri" w:hAnsi="Times New Roman"/>
              </w:rPr>
            </w:pPr>
            <w:r>
              <w:rPr>
                <w:rFonts w:ascii="Times New Roman" w:eastAsia="Calibri" w:hAnsi="Times New Roman"/>
              </w:rPr>
              <w:t>9</w:t>
            </w:r>
          </w:p>
        </w:tc>
        <w:tc>
          <w:tcPr>
            <w:tcW w:w="1605" w:type="dxa"/>
            <w:tcBorders>
              <w:top w:val="single" w:sz="8" w:space="0" w:color="auto"/>
              <w:left w:val="nil"/>
              <w:right w:val="nil"/>
            </w:tcBorders>
          </w:tcPr>
          <w:p w14:paraId="3B5B02D4" w14:textId="77777777" w:rsidR="00EC35AC" w:rsidRPr="00BC5AFD" w:rsidRDefault="00EC35AC" w:rsidP="00EC35AC">
            <w:pPr>
              <w:jc w:val="both"/>
              <w:rPr>
                <w:rFonts w:ascii="Times New Roman" w:eastAsia="Calibri" w:hAnsi="Times New Roman"/>
              </w:rPr>
            </w:pPr>
            <w:r>
              <w:rPr>
                <w:rFonts w:ascii="Times New Roman" w:eastAsia="Calibri" w:hAnsi="Times New Roman"/>
              </w:rPr>
              <w:t>35,7</w:t>
            </w:r>
          </w:p>
          <w:p w14:paraId="2D885E1A" w14:textId="77777777" w:rsidR="00EC35AC" w:rsidRPr="00BC5AFD" w:rsidRDefault="00EC35AC" w:rsidP="00EC35AC">
            <w:pPr>
              <w:jc w:val="both"/>
              <w:rPr>
                <w:rFonts w:ascii="Times New Roman" w:eastAsia="Calibri" w:hAnsi="Times New Roman"/>
              </w:rPr>
            </w:pPr>
            <w:r>
              <w:rPr>
                <w:rFonts w:ascii="Times New Roman" w:eastAsia="Calibri" w:hAnsi="Times New Roman"/>
              </w:rPr>
              <w:t>64,3</w:t>
            </w:r>
          </w:p>
        </w:tc>
        <w:tc>
          <w:tcPr>
            <w:tcW w:w="709" w:type="dxa"/>
            <w:tcBorders>
              <w:top w:val="single" w:sz="8" w:space="0" w:color="auto"/>
              <w:left w:val="nil"/>
              <w:right w:val="nil"/>
            </w:tcBorders>
          </w:tcPr>
          <w:p w14:paraId="638ED22D" w14:textId="77777777" w:rsidR="00EC35AC" w:rsidRPr="00BC5AFD" w:rsidRDefault="00EC35AC" w:rsidP="00EC35AC">
            <w:pPr>
              <w:jc w:val="both"/>
              <w:rPr>
                <w:rFonts w:ascii="Times New Roman" w:eastAsia="Calibri" w:hAnsi="Times New Roman"/>
              </w:rPr>
            </w:pPr>
            <w:r>
              <w:rPr>
                <w:rFonts w:ascii="Times New Roman" w:eastAsia="Calibri" w:hAnsi="Times New Roman"/>
              </w:rPr>
              <w:t>5</w:t>
            </w:r>
            <w:r>
              <w:rPr>
                <w:rFonts w:ascii="Times New Roman" w:eastAsia="Calibri" w:hAnsi="Times New Roman"/>
              </w:rPr>
              <w:br/>
              <w:t>20</w:t>
            </w:r>
          </w:p>
        </w:tc>
        <w:tc>
          <w:tcPr>
            <w:tcW w:w="1559" w:type="dxa"/>
            <w:tcBorders>
              <w:top w:val="single" w:sz="8" w:space="0" w:color="auto"/>
              <w:left w:val="nil"/>
              <w:right w:val="nil"/>
            </w:tcBorders>
          </w:tcPr>
          <w:p w14:paraId="7921F42B"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20,0</w:t>
            </w:r>
            <w:r>
              <w:rPr>
                <w:rFonts w:ascii="Times New Roman" w:eastAsia="Calibri" w:hAnsi="Times New Roman"/>
              </w:rPr>
              <w:br/>
              <w:t xml:space="preserve"> 80,0</w:t>
            </w:r>
          </w:p>
        </w:tc>
      </w:tr>
      <w:tr w:rsidR="00EC35AC" w:rsidRPr="00BC5AFD" w14:paraId="766FC499" w14:textId="77777777" w:rsidTr="00EC35AC">
        <w:trPr>
          <w:trHeight w:val="257"/>
        </w:trPr>
        <w:tc>
          <w:tcPr>
            <w:tcW w:w="1350" w:type="dxa"/>
            <w:vMerge/>
            <w:tcBorders>
              <w:left w:val="nil"/>
              <w:bottom w:val="single" w:sz="8" w:space="0" w:color="auto"/>
              <w:right w:val="nil"/>
            </w:tcBorders>
          </w:tcPr>
          <w:p w14:paraId="093FDA79" w14:textId="77777777" w:rsidR="00EC35AC" w:rsidRPr="00BC5AFD" w:rsidRDefault="00EC35AC" w:rsidP="00EC35AC">
            <w:pPr>
              <w:ind w:left="851"/>
              <w:jc w:val="both"/>
              <w:rPr>
                <w:rFonts w:ascii="Times New Roman" w:eastAsia="Calibri" w:hAnsi="Times New Roman"/>
              </w:rPr>
            </w:pPr>
          </w:p>
        </w:tc>
        <w:tc>
          <w:tcPr>
            <w:tcW w:w="2312" w:type="dxa"/>
            <w:tcBorders>
              <w:left w:val="nil"/>
              <w:bottom w:val="single" w:sz="8" w:space="0" w:color="auto"/>
              <w:right w:val="nil"/>
            </w:tcBorders>
          </w:tcPr>
          <w:p w14:paraId="71AD16F1"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Σύνολο</w:t>
            </w:r>
          </w:p>
        </w:tc>
        <w:tc>
          <w:tcPr>
            <w:tcW w:w="1078" w:type="dxa"/>
            <w:tcBorders>
              <w:left w:val="nil"/>
              <w:bottom w:val="single" w:sz="8" w:space="0" w:color="auto"/>
              <w:right w:val="nil"/>
            </w:tcBorders>
          </w:tcPr>
          <w:p w14:paraId="1856043A" w14:textId="77777777" w:rsidR="00EC35AC" w:rsidRPr="00BC5AFD" w:rsidRDefault="00EC35AC" w:rsidP="00EC35AC">
            <w:pPr>
              <w:rPr>
                <w:rFonts w:ascii="Times New Roman" w:eastAsia="Calibri" w:hAnsi="Times New Roman"/>
              </w:rPr>
            </w:pPr>
            <w:r>
              <w:rPr>
                <w:rFonts w:ascii="Times New Roman" w:eastAsia="Calibri" w:hAnsi="Times New Roman"/>
              </w:rPr>
              <w:t>14</w:t>
            </w:r>
          </w:p>
        </w:tc>
        <w:tc>
          <w:tcPr>
            <w:tcW w:w="1605" w:type="dxa"/>
            <w:tcBorders>
              <w:left w:val="nil"/>
              <w:bottom w:val="single" w:sz="8" w:space="0" w:color="auto"/>
              <w:right w:val="nil"/>
            </w:tcBorders>
          </w:tcPr>
          <w:p w14:paraId="36ECF578"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09" w:type="dxa"/>
            <w:tcBorders>
              <w:left w:val="nil"/>
              <w:bottom w:val="single" w:sz="8" w:space="0" w:color="auto"/>
              <w:right w:val="nil"/>
            </w:tcBorders>
          </w:tcPr>
          <w:p w14:paraId="3B91D29D" w14:textId="77777777" w:rsidR="00EC35AC" w:rsidRPr="00BC5AFD" w:rsidRDefault="00EC35AC" w:rsidP="00EC35AC">
            <w:pPr>
              <w:jc w:val="both"/>
              <w:rPr>
                <w:rFonts w:ascii="Times New Roman" w:eastAsia="Calibri" w:hAnsi="Times New Roman"/>
              </w:rPr>
            </w:pPr>
            <w:r>
              <w:rPr>
                <w:rFonts w:ascii="Times New Roman" w:eastAsia="Calibri" w:hAnsi="Times New Roman"/>
              </w:rPr>
              <w:t>25</w:t>
            </w:r>
          </w:p>
        </w:tc>
        <w:tc>
          <w:tcPr>
            <w:tcW w:w="1559" w:type="dxa"/>
            <w:tcBorders>
              <w:left w:val="nil"/>
              <w:bottom w:val="single" w:sz="8" w:space="0" w:color="auto"/>
              <w:right w:val="nil"/>
            </w:tcBorders>
          </w:tcPr>
          <w:p w14:paraId="64499897"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100</w:t>
            </w:r>
          </w:p>
        </w:tc>
      </w:tr>
      <w:tr w:rsidR="00EC35AC" w:rsidRPr="00BC5AFD" w14:paraId="6F323474" w14:textId="77777777" w:rsidTr="00EC35AC">
        <w:trPr>
          <w:trHeight w:val="521"/>
        </w:trPr>
        <w:tc>
          <w:tcPr>
            <w:tcW w:w="1350" w:type="dxa"/>
            <w:vMerge w:val="restart"/>
            <w:tcBorders>
              <w:top w:val="single" w:sz="8" w:space="0" w:color="auto"/>
              <w:left w:val="nil"/>
              <w:right w:val="nil"/>
            </w:tcBorders>
          </w:tcPr>
          <w:p w14:paraId="38D6296E"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Εθνικότητα</w:t>
            </w:r>
          </w:p>
          <w:p w14:paraId="0B002094" w14:textId="77777777" w:rsidR="00EC35AC" w:rsidRPr="00BC5AFD" w:rsidRDefault="00EC35AC" w:rsidP="00EC35AC">
            <w:pPr>
              <w:ind w:left="709"/>
              <w:jc w:val="both"/>
              <w:rPr>
                <w:rFonts w:ascii="Times New Roman" w:eastAsia="Calibri" w:hAnsi="Times New Roman"/>
              </w:rPr>
            </w:pPr>
          </w:p>
        </w:tc>
        <w:tc>
          <w:tcPr>
            <w:tcW w:w="2312" w:type="dxa"/>
            <w:tcBorders>
              <w:top w:val="single" w:sz="8" w:space="0" w:color="auto"/>
              <w:left w:val="nil"/>
              <w:right w:val="nil"/>
            </w:tcBorders>
          </w:tcPr>
          <w:p w14:paraId="1EEE8969"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 xml:space="preserve"> Έλληνες</w:t>
            </w:r>
          </w:p>
          <w:p w14:paraId="401A4B19" w14:textId="77777777" w:rsidR="00EC35AC" w:rsidRPr="00BC5AFD" w:rsidRDefault="00EC35AC" w:rsidP="00EC35AC">
            <w:pPr>
              <w:jc w:val="both"/>
              <w:rPr>
                <w:rFonts w:ascii="Times New Roman" w:eastAsia="Calibri" w:hAnsi="Times New Roman"/>
              </w:rPr>
            </w:pPr>
            <w:r>
              <w:rPr>
                <w:rFonts w:ascii="Times New Roman" w:eastAsia="Calibri" w:hAnsi="Times New Roman"/>
              </w:rPr>
              <w:t>Αλλοδαποί</w:t>
            </w:r>
          </w:p>
        </w:tc>
        <w:tc>
          <w:tcPr>
            <w:tcW w:w="1078" w:type="dxa"/>
            <w:tcBorders>
              <w:top w:val="single" w:sz="8" w:space="0" w:color="auto"/>
              <w:left w:val="nil"/>
              <w:right w:val="nil"/>
            </w:tcBorders>
          </w:tcPr>
          <w:p w14:paraId="4BBFE2A3" w14:textId="77777777" w:rsidR="00EC35AC" w:rsidRPr="00BC5AFD" w:rsidRDefault="00EC35AC" w:rsidP="00EC35AC">
            <w:pPr>
              <w:rPr>
                <w:rFonts w:ascii="Times New Roman" w:eastAsia="Calibri" w:hAnsi="Times New Roman"/>
              </w:rPr>
            </w:pPr>
            <w:r>
              <w:rPr>
                <w:rFonts w:ascii="Times New Roman" w:eastAsia="Calibri" w:hAnsi="Times New Roman"/>
              </w:rPr>
              <w:t>10</w:t>
            </w:r>
          </w:p>
          <w:p w14:paraId="1B6657EA" w14:textId="77777777" w:rsidR="00EC35AC" w:rsidRPr="00BC5AFD" w:rsidRDefault="00EC35AC" w:rsidP="00EC35AC">
            <w:pPr>
              <w:rPr>
                <w:rFonts w:ascii="Times New Roman" w:eastAsia="Calibri" w:hAnsi="Times New Roman"/>
              </w:rPr>
            </w:pPr>
            <w:r>
              <w:rPr>
                <w:rFonts w:ascii="Times New Roman" w:eastAsia="Calibri" w:hAnsi="Times New Roman"/>
              </w:rPr>
              <w:t>4</w:t>
            </w:r>
          </w:p>
        </w:tc>
        <w:tc>
          <w:tcPr>
            <w:tcW w:w="1605" w:type="dxa"/>
            <w:tcBorders>
              <w:top w:val="single" w:sz="8" w:space="0" w:color="auto"/>
              <w:left w:val="nil"/>
              <w:right w:val="nil"/>
            </w:tcBorders>
          </w:tcPr>
          <w:p w14:paraId="40477789" w14:textId="77777777" w:rsidR="00EC35AC" w:rsidRPr="00BC5AFD" w:rsidRDefault="00EC35AC" w:rsidP="00EC35AC">
            <w:pPr>
              <w:jc w:val="both"/>
              <w:rPr>
                <w:rFonts w:ascii="Times New Roman" w:eastAsia="Calibri" w:hAnsi="Times New Roman"/>
              </w:rPr>
            </w:pPr>
            <w:r>
              <w:rPr>
                <w:rFonts w:ascii="Times New Roman" w:eastAsia="Calibri" w:hAnsi="Times New Roman"/>
              </w:rPr>
              <w:t>71,4</w:t>
            </w:r>
          </w:p>
          <w:p w14:paraId="10C1A035" w14:textId="77777777" w:rsidR="00EC35AC" w:rsidRPr="00BC5AFD" w:rsidRDefault="00EC35AC" w:rsidP="00EC35AC">
            <w:pPr>
              <w:jc w:val="both"/>
              <w:rPr>
                <w:rFonts w:ascii="Times New Roman" w:eastAsia="Calibri" w:hAnsi="Times New Roman"/>
              </w:rPr>
            </w:pPr>
            <w:r>
              <w:rPr>
                <w:rFonts w:ascii="Times New Roman" w:eastAsia="Calibri" w:hAnsi="Times New Roman"/>
              </w:rPr>
              <w:t>28,6</w:t>
            </w:r>
          </w:p>
        </w:tc>
        <w:tc>
          <w:tcPr>
            <w:tcW w:w="709" w:type="dxa"/>
            <w:tcBorders>
              <w:top w:val="single" w:sz="8" w:space="0" w:color="auto"/>
              <w:left w:val="nil"/>
              <w:right w:val="nil"/>
            </w:tcBorders>
          </w:tcPr>
          <w:p w14:paraId="6F2BD822" w14:textId="77777777" w:rsidR="00EC35AC" w:rsidRPr="00BC5AFD" w:rsidRDefault="00EC35AC" w:rsidP="00EC35AC">
            <w:pPr>
              <w:jc w:val="both"/>
              <w:rPr>
                <w:rFonts w:ascii="Times New Roman" w:eastAsia="Calibri" w:hAnsi="Times New Roman"/>
              </w:rPr>
            </w:pPr>
            <w:r>
              <w:rPr>
                <w:rFonts w:ascii="Times New Roman" w:eastAsia="Calibri" w:hAnsi="Times New Roman"/>
              </w:rPr>
              <w:t>19</w:t>
            </w:r>
            <w:r>
              <w:rPr>
                <w:rFonts w:ascii="Times New Roman" w:eastAsia="Calibri" w:hAnsi="Times New Roman"/>
              </w:rPr>
              <w:br/>
              <w:t>6</w:t>
            </w:r>
          </w:p>
        </w:tc>
        <w:tc>
          <w:tcPr>
            <w:tcW w:w="1559" w:type="dxa"/>
            <w:tcBorders>
              <w:top w:val="single" w:sz="8" w:space="0" w:color="auto"/>
              <w:left w:val="nil"/>
              <w:right w:val="nil"/>
            </w:tcBorders>
          </w:tcPr>
          <w:p w14:paraId="000F8A1D"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76,0</w:t>
            </w:r>
            <w:r>
              <w:rPr>
                <w:rFonts w:ascii="Times New Roman" w:eastAsia="Calibri" w:hAnsi="Times New Roman"/>
              </w:rPr>
              <w:br/>
              <w:t xml:space="preserve"> 24,0</w:t>
            </w:r>
          </w:p>
        </w:tc>
      </w:tr>
      <w:tr w:rsidR="00EC35AC" w:rsidRPr="00BC5AFD" w14:paraId="3925E632" w14:textId="77777777" w:rsidTr="00EC35AC">
        <w:trPr>
          <w:trHeight w:val="255"/>
        </w:trPr>
        <w:tc>
          <w:tcPr>
            <w:tcW w:w="1350" w:type="dxa"/>
            <w:vMerge/>
            <w:tcBorders>
              <w:left w:val="nil"/>
              <w:bottom w:val="single" w:sz="4" w:space="0" w:color="auto"/>
              <w:right w:val="nil"/>
            </w:tcBorders>
          </w:tcPr>
          <w:p w14:paraId="74132FA3" w14:textId="77777777" w:rsidR="00EC35AC" w:rsidRPr="00BC5AFD" w:rsidRDefault="00EC35AC" w:rsidP="00EC35AC">
            <w:pPr>
              <w:ind w:left="851"/>
              <w:jc w:val="both"/>
              <w:rPr>
                <w:rFonts w:ascii="Times New Roman" w:eastAsia="Calibri" w:hAnsi="Times New Roman"/>
              </w:rPr>
            </w:pPr>
          </w:p>
        </w:tc>
        <w:tc>
          <w:tcPr>
            <w:tcW w:w="2312" w:type="dxa"/>
            <w:tcBorders>
              <w:left w:val="nil"/>
              <w:bottom w:val="single" w:sz="4" w:space="0" w:color="auto"/>
              <w:right w:val="nil"/>
            </w:tcBorders>
          </w:tcPr>
          <w:p w14:paraId="1F17849E" w14:textId="77777777" w:rsidR="00EC35AC" w:rsidRPr="00BC5AFD" w:rsidRDefault="00EC35AC" w:rsidP="00EC35AC">
            <w:pPr>
              <w:ind w:left="851" w:hanging="897"/>
              <w:jc w:val="both"/>
              <w:rPr>
                <w:rFonts w:ascii="Times New Roman" w:eastAsia="Calibri" w:hAnsi="Times New Roman"/>
              </w:rPr>
            </w:pPr>
            <w:r w:rsidRPr="00BC5AFD">
              <w:rPr>
                <w:rFonts w:ascii="Times New Roman" w:eastAsia="Calibri" w:hAnsi="Times New Roman"/>
              </w:rPr>
              <w:t xml:space="preserve"> Σύνολο</w:t>
            </w:r>
          </w:p>
        </w:tc>
        <w:tc>
          <w:tcPr>
            <w:tcW w:w="1078" w:type="dxa"/>
            <w:tcBorders>
              <w:left w:val="nil"/>
              <w:bottom w:val="single" w:sz="4" w:space="0" w:color="auto"/>
              <w:right w:val="nil"/>
            </w:tcBorders>
          </w:tcPr>
          <w:p w14:paraId="64475360" w14:textId="77777777" w:rsidR="00EC35AC" w:rsidRPr="00BC5AFD" w:rsidRDefault="00EC35AC" w:rsidP="00EC35AC">
            <w:pPr>
              <w:jc w:val="both"/>
              <w:rPr>
                <w:rFonts w:ascii="Times New Roman" w:eastAsia="Calibri" w:hAnsi="Times New Roman"/>
              </w:rPr>
            </w:pPr>
            <w:r>
              <w:rPr>
                <w:rFonts w:ascii="Times New Roman" w:eastAsia="Calibri" w:hAnsi="Times New Roman"/>
              </w:rPr>
              <w:t>14</w:t>
            </w:r>
          </w:p>
        </w:tc>
        <w:tc>
          <w:tcPr>
            <w:tcW w:w="1605" w:type="dxa"/>
            <w:tcBorders>
              <w:left w:val="nil"/>
              <w:bottom w:val="single" w:sz="4" w:space="0" w:color="auto"/>
              <w:right w:val="nil"/>
            </w:tcBorders>
          </w:tcPr>
          <w:p w14:paraId="1F5669A3"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09" w:type="dxa"/>
            <w:tcBorders>
              <w:left w:val="nil"/>
              <w:bottom w:val="single" w:sz="4" w:space="0" w:color="auto"/>
              <w:right w:val="nil"/>
            </w:tcBorders>
          </w:tcPr>
          <w:p w14:paraId="511F4AEF"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25   </w:t>
            </w:r>
          </w:p>
        </w:tc>
        <w:tc>
          <w:tcPr>
            <w:tcW w:w="1559" w:type="dxa"/>
            <w:tcBorders>
              <w:left w:val="nil"/>
              <w:bottom w:val="single" w:sz="4" w:space="0" w:color="auto"/>
              <w:right w:val="nil"/>
            </w:tcBorders>
          </w:tcPr>
          <w:p w14:paraId="388A9FEC"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bl>
    <w:p w14:paraId="7DFCCE3F" w14:textId="77777777" w:rsidR="00EC35AC" w:rsidRPr="00E9752A" w:rsidRDefault="00EC35AC" w:rsidP="00EC35AC">
      <w:pPr>
        <w:pStyle w:val="71"/>
        <w:rPr>
          <w:lang w:eastAsia="el-GR"/>
        </w:rPr>
      </w:pPr>
      <w:r>
        <w:rPr>
          <w:lang w:eastAsia="el-GR"/>
        </w:rPr>
        <w:t>Συμπεράσματα</w:t>
      </w:r>
    </w:p>
    <w:p w14:paraId="66814F08" w14:textId="77777777" w:rsidR="00EC35AC" w:rsidRPr="00E9752A" w:rsidRDefault="00EC35AC" w:rsidP="007136D3">
      <w:pPr>
        <w:pStyle w:val="8"/>
        <w:rPr>
          <w:lang w:eastAsia="el-GR"/>
        </w:rPr>
      </w:pPr>
      <w:r>
        <w:rPr>
          <w:lang w:eastAsia="el-GR"/>
        </w:rPr>
        <w:t>Η παρούσα έρευνα αποτελεί μια πρώτη προσπάθεια διερεύνησης της σχέσης ανάμεσα στη νοητική ικανότητα και την ακαδημαϊκή επίδοση των μαθητών στο ελληνικό σχολείο. Μολονότι η διεθνής έρευνα έχει καταδείξει την ύπαρξη θετικής σχέσης ανάμεσα στις δύο μεταβλητές, με τη νοημοσύνη να μπορεί να εξηγήσει ένα μέρος της διακύμανσης της ακαδημαϊκής επίδοσης</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(Neisser et al., 1996; Rohde &amp; Thompson, 2007; Soares et al., 2015)</w:t>
      </w:r>
      <w:r>
        <w:rPr>
          <w:lang w:eastAsia="el-GR"/>
        </w:rPr>
      </w:r>
      <w:r w:rsidRPr="00DB1A7D">
        <w:rPr>
          <w:lang w:eastAsia="el-GR"/>
        </w:rPr>
        <w:t xml:space="preserve">, </w:t>
      </w:r>
      <w:r>
        <w:rPr>
          <w:lang w:eastAsia="el-GR"/>
        </w:rPr>
        <w:t>αντίστοιχες έρευνες λείπουν από την ελληνική βιβλιογραφία.</w:t>
      </w:r>
    </w:p>
    <w:p w14:paraId="09C1C166" w14:textId="77777777" w:rsidR="00EC35AC" w:rsidRPr="00E9752A" w:rsidRDefault="00EC35AC" w:rsidP="00EC35AC">
      <w:pPr>
        <w:pStyle w:val="71"/>
        <w:rPr>
          <w:lang w:eastAsia="el-GR"/>
        </w:rPr>
      </w:pPr>
      <w:r>
        <w:rPr>
          <w:lang w:eastAsia="el-GR"/>
        </w:rPr>
        <w:lastRenderedPageBreak/>
        <w:t>Συζήτηση</w:t>
      </w:r>
    </w:p>
    <w:p w14:paraId="69251136" w14:textId="77777777" w:rsidR="00EC35AC" w:rsidRDefault="00EC35AC" w:rsidP="007136D3">
      <w:pPr>
        <w:pStyle w:val="8"/>
        <w:rPr>
          <w:lang w:eastAsia="el-GR"/>
        </w:rPr>
      </w:pPr>
      <w:r>
        <w:rPr>
          <w:lang w:eastAsia="el-GR"/>
        </w:rPr>
        <w:t>Η ανάλυση των αποτελεσμάτων επιβεβαίωσε την ύπαρξη θετικής και στατιστικά σημαντικής σχέσης ανάμεσα στη νοητική και την ακαδημαϊκή επίδοση. Προηγούμενες έρευνες έχουν επίσης επισημάνει ότι το νοητικό δυναμικό</w:t>
      </w:r>
      <w:r w:rsidR="009422F2">
        <w:rPr>
          <w:lang w:eastAsia="el-GR"/>
        </w:rPr>
        <w:t xml:space="preserve"> </w:t>
      </w:r>
      <w:r>
        <w:rPr>
          <w:lang w:eastAsia="el-GR"/>
        </w:rPr>
        <w:t>σχετίζεται ως ένα βαθμό στις σχολικές επιδόσεις, χωρίς όμως να εξηγεί απολύτως</w:t>
      </w:r>
      <w:r w:rsidR="009422F2">
        <w:rPr>
          <w:lang w:eastAsia="el-GR"/>
        </w:rPr>
        <w:t xml:space="preserve"> </w:t>
      </w:r>
      <w:r>
        <w:rPr>
          <w:lang w:eastAsia="el-GR"/>
        </w:rPr>
        <w:t>τις διακυμάνσεις στη σχολική βαθμολογία. Αυτό αποδίδεται στο γεγονός ότι η ακαδημαϊκή επιτυχία επηρεάζεται από πολλούς παράγοντες, τόσο ατομικούς, όσο και περιβαλλοντικούς</w:t>
      </w:r>
      <w:r w:rsidR="00BC36A8">
        <w:rPr>
          <w:lang w:eastAsia="el-GR"/>
        </w:rPr>
        <w:t xml:space="preserve"> </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(Neisser et al., 1996; Reis &amp; McCoach, 2000; Soares et al., 2015)</w:t>
      </w:r>
      <w:r>
        <w:rPr>
          <w:lang w:eastAsia="el-GR"/>
        </w:rPr>
      </w:r>
      <w:r w:rsidRPr="00DB1A7D">
        <w:rPr>
          <w:lang w:eastAsia="el-GR"/>
        </w:rPr>
        <w:t>.</w:t>
      </w:r>
      <w:r>
        <w:rPr>
          <w:lang w:eastAsia="el-GR"/>
        </w:rPr>
        <w:t xml:space="preserve">Στην παρούσα έρευνα, η σχέση ανάμεσα στις δύο μεταβλητές φάνηκε να ισχυροποιείται για τους μαθητές Γυμνασίου σε σύγκριση με το δείγμα μαθητών Δημοτικού, με τη νοητική ικανότητα να προβλέπει μεγαλύτερο ποσοστό της διακύμανσης στην ακαδημαϊκή επίδοση. Ενδεχομένως αυτή η αύξηση της συσχέτισης μεταξύ των δύο μεταβλητών για το δείγμα των εφήβων να οφείλεται σε παράγοντες σχετικούς με την εκπαιδευτική αξιολόγηση, όπως η λιγότερο πληθωριστική βαθμολογία στη δευτεροβάθμια εκπαίδευση, αλλά και στην ύπαρξη διδακτικών αντικειμένων, όπως λ.χ. τα Μαθηματικά, που προωθούν και </w:t>
      </w:r>
      <w:proofErr w:type="spellStart"/>
      <w:r>
        <w:rPr>
          <w:lang w:eastAsia="el-GR"/>
        </w:rPr>
        <w:t>συναξιολογούν</w:t>
      </w:r>
      <w:proofErr w:type="spellEnd"/>
      <w:r>
        <w:rPr>
          <w:lang w:eastAsia="el-GR"/>
        </w:rPr>
        <w:t xml:space="preserve"> την επαγωγική σκέψη, η οποία απαντά και στα τεστ νοημοσύνης.</w:t>
      </w:r>
    </w:p>
    <w:p w14:paraId="4E12366F" w14:textId="77777777" w:rsidR="00EC35AC" w:rsidRPr="0034251A" w:rsidRDefault="00EC35AC" w:rsidP="007136D3">
      <w:pPr>
        <w:pStyle w:val="8"/>
        <w:rPr>
          <w:lang w:eastAsia="el-GR"/>
        </w:rPr>
      </w:pPr>
      <w:r>
        <w:rPr>
          <w:lang w:eastAsia="el-GR"/>
        </w:rPr>
        <w:t xml:space="preserve">Στο σημείο αυτό, αξίζει να αναφερθεί ότι το φύλο των μαθητών δεν φάνηκε να επηρεάζει τις επιδόσεις των μαθητών στο Δημοτικό, αντιθέτως, οι μαθητές του δείγματος που φοιτούσαν στο Γυμνάσιο παρουσίασαν στατιστικά σημαντική διαφορά στους μέσους όρους της ακαδημαϊκής τους επίδοσης ανάλογα με το φύλο τους, με τα κορίτσια να σημειώνουν καλύτερες επιδόσεις. Σημαντικές διαφορές εντοπίστηκαν ακόμη στη διακύμανση των μέσων όρων του νοητικού δυναμικού ανάλογα με την πολιτισμική καταγωγή των μαθητών, με τους ημεδαπούς μαθητές του δείγματος να πετυχαίνουν υψηλότερες επιδόσεις. Προηγούμενες έρευνες έχουν καταδείξει την επίδραση παραγόντων όπως το φύλο και η εθνικότητα ως διαφοροποιητικών τόσο προς την ακαδημαϊκή, όσο και προς τη νοητική επίδοση </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(Brooks-Gunn, Klebanov, &amp; Duncan, 1996; Dustmann et al., 2010)</w:t>
      </w:r>
      <w:r>
        <w:rPr>
          <w:lang w:eastAsia="el-GR"/>
        </w:rPr>
      </w:r>
      <w:r w:rsidRPr="004A609D">
        <w:rPr>
          <w:lang w:eastAsia="el-GR"/>
        </w:rPr>
        <w:t>.</w:t>
      </w:r>
      <w:r w:rsidRPr="0034251A">
        <w:rPr>
          <w:lang w:eastAsia="el-GR"/>
        </w:rPr>
        <w:t xml:space="preserve"> </w:t>
      </w:r>
    </w:p>
    <w:p w14:paraId="2BBF16CB" w14:textId="77777777" w:rsidR="00EC35AC" w:rsidRPr="00C54273" w:rsidRDefault="00EC35AC" w:rsidP="007136D3">
      <w:pPr>
        <w:pStyle w:val="8"/>
        <w:rPr>
          <w:lang w:eastAsia="el-GR"/>
        </w:rPr>
      </w:pPr>
      <w:r>
        <w:rPr>
          <w:lang w:eastAsia="el-GR"/>
        </w:rPr>
        <w:t xml:space="preserve">Σε πολλές περιπτώσεις, ωστόσο, το νοητικό δυναμικό των μαθητών του δείγματος δεν φάνηκε να αντανακλάται αντίστοιχες </w:t>
      </w:r>
      <w:proofErr w:type="spellStart"/>
      <w:r>
        <w:rPr>
          <w:lang w:eastAsia="el-GR"/>
        </w:rPr>
        <w:t>ακαδημαϊκες</w:t>
      </w:r>
      <w:proofErr w:type="spellEnd"/>
      <w:r>
        <w:rPr>
          <w:lang w:eastAsia="el-GR"/>
        </w:rPr>
        <w:t xml:space="preserve"> επιδόσεις. Στην παρούσα έρευνα εντοπίστηκε ένας σημαντικός αριθμός μαθητών που παρουσίαζαν τόσο ακαδημαϊκή </w:t>
      </w:r>
      <w:proofErr w:type="spellStart"/>
      <w:r>
        <w:rPr>
          <w:lang w:eastAsia="el-GR"/>
        </w:rPr>
        <w:t>υποεπίδοση</w:t>
      </w:r>
      <w:proofErr w:type="spellEnd"/>
      <w:r>
        <w:rPr>
          <w:lang w:eastAsia="el-GR"/>
        </w:rPr>
        <w:t xml:space="preserve">, όσο και </w:t>
      </w:r>
      <w:proofErr w:type="spellStart"/>
      <w:r>
        <w:rPr>
          <w:lang w:eastAsia="el-GR"/>
        </w:rPr>
        <w:t>υπερεπίδοση</w:t>
      </w:r>
      <w:proofErr w:type="spellEnd"/>
      <w:r>
        <w:rPr>
          <w:lang w:eastAsia="el-GR"/>
        </w:rPr>
        <w:t>.</w:t>
      </w:r>
    </w:p>
    <w:p w14:paraId="5CDA34BF" w14:textId="77777777" w:rsidR="00EC35AC" w:rsidRPr="00600CC7" w:rsidRDefault="00EC35AC" w:rsidP="007136D3">
      <w:pPr>
        <w:pStyle w:val="8"/>
        <w:rPr>
          <w:lang w:eastAsia="el-GR"/>
        </w:rPr>
      </w:pPr>
      <w:r>
        <w:rPr>
          <w:lang w:eastAsia="el-GR"/>
        </w:rPr>
        <w:t xml:space="preserve">Ειδικότερα, ορισμένοι μαθητές φάνηκε να παρουσιάζουν μειωμένη ανταπόκριση στην εκπαίδευση, παρά τις υψηλές επιδόσεις τους στα τεστ νοημοσύνης. </w:t>
      </w:r>
      <w:r w:rsidRPr="004B37DB">
        <w:rPr>
          <w:lang w:eastAsia="el-GR"/>
        </w:rPr>
        <w:t xml:space="preserve">Οι μαθητές </w:t>
      </w:r>
      <w:r>
        <w:rPr>
          <w:lang w:eastAsia="el-GR"/>
        </w:rPr>
        <w:t xml:space="preserve">αυτοί, αναφερόμενοι συχνά στη βιβλιογραφία ως «μαθητές με </w:t>
      </w:r>
      <w:proofErr w:type="spellStart"/>
      <w:r>
        <w:rPr>
          <w:lang w:eastAsia="el-GR"/>
        </w:rPr>
        <w:t>υποεπίδοση</w:t>
      </w:r>
      <w:proofErr w:type="spellEnd"/>
      <w:r>
        <w:rPr>
          <w:lang w:eastAsia="el-GR"/>
        </w:rPr>
        <w:t xml:space="preserve">» τείνουν να </w:t>
      </w:r>
      <w:r w:rsidRPr="004B37DB">
        <w:rPr>
          <w:lang w:eastAsia="el-GR"/>
        </w:rPr>
        <w:t xml:space="preserve">αποτυγχάνουν να πραγματώσουν το ακαδημαϊκό τους δυναμικό με αποτέλεσμα να εισέρχονται στην κοινωνία των ενηλίκων επιδεικνύοντας χαμηλό μορφωτικό επίπεδο, διαθέτοντας </w:t>
      </w:r>
      <w:r>
        <w:rPr>
          <w:lang w:eastAsia="el-GR"/>
        </w:rPr>
        <w:t xml:space="preserve">παράλληλα </w:t>
      </w:r>
      <w:r w:rsidRPr="004B37DB">
        <w:rPr>
          <w:lang w:eastAsia="el-GR"/>
        </w:rPr>
        <w:t>μια σειρά από αναξιοποίητες ικανότητες</w:t>
      </w:r>
      <w:r>
        <w:rPr>
          <w:lang w:eastAsia="el-GR"/>
        </w:rPr>
        <w:t>, γεγονός που υπογραμμίζει μεταξύ άλλων την αδυναμία του σχολείου να εντοπίσει, να αξιοποιήσει και να αναπτύξει τις ικανότητες των μαθητών</w:t>
      </w:r>
      <w:r>
        <w:rPr>
          <w:lang w:eastAsia="el-GR"/>
        </w:rPr>
      </w:r>
      <w:r>
        <w:rPr>
          <w:lang w:eastAsia="el-GR"/>
        </w:rPr>
        <w:instrText xml:space="preserve"/>
      </w:r>
      <w:r>
        <w:rPr>
          <w:lang w:eastAsia="el-GR"/>
        </w:rPr>
      </w:r>
      <w:r>
        <w:rPr>
          <w:noProof/>
          <w:lang w:eastAsia="el-GR"/>
        </w:rPr>
        <w:t>(van Batenburg-Eddes &amp; Jolles, 2013)</w:t>
      </w:r>
      <w:r>
        <w:rPr>
          <w:lang w:eastAsia="el-GR"/>
        </w:rPr>
      </w:r>
      <w:r w:rsidRPr="00231253">
        <w:rPr>
          <w:lang w:eastAsia="el-GR"/>
        </w:rPr>
        <w:t xml:space="preserve">. </w:t>
      </w:r>
      <w:r>
        <w:rPr>
          <w:lang w:eastAsia="el-GR"/>
        </w:rPr>
        <w:t xml:space="preserve">Στο συγκεκριμένο δείγμα, διαπιστώθηκε </w:t>
      </w:r>
      <w:proofErr w:type="spellStart"/>
      <w:r>
        <w:rPr>
          <w:lang w:eastAsia="el-GR"/>
        </w:rPr>
        <w:t>υπερεκπροσώπηση</w:t>
      </w:r>
      <w:proofErr w:type="spellEnd"/>
      <w:r>
        <w:rPr>
          <w:lang w:eastAsia="el-GR"/>
        </w:rPr>
        <w:t xml:space="preserve"> των αγοριών και των μαθητών διαφορετικής πολιτισμικής καταγωγής στην ομάδα των παιδιών με </w:t>
      </w:r>
      <w:proofErr w:type="spellStart"/>
      <w:r>
        <w:rPr>
          <w:lang w:eastAsia="el-GR"/>
        </w:rPr>
        <w:t>υποεπίδοση</w:t>
      </w:r>
      <w:proofErr w:type="spellEnd"/>
      <w:r>
        <w:rPr>
          <w:lang w:eastAsia="el-GR"/>
        </w:rPr>
        <w:t xml:space="preserve">. Προηγούμενες έρευνες καταδεικνύουν ότι η εμφάνιση ακαδημαϊκής </w:t>
      </w:r>
      <w:proofErr w:type="spellStart"/>
      <w:r>
        <w:rPr>
          <w:lang w:eastAsia="el-GR"/>
        </w:rPr>
        <w:t>υποεπίδοσης</w:t>
      </w:r>
      <w:proofErr w:type="spellEnd"/>
      <w:r>
        <w:rPr>
          <w:lang w:eastAsia="el-GR"/>
        </w:rPr>
        <w:t xml:space="preserve"> στα αγόρια αποτελεί διαχρονικό φαινόμενο, το οποίο έχει συνδεθεί με ορισμένα στοιχεία της προσωπικότητάς τους, συχνότερη έλλειψη κινήτρων μάθησης, αλλά και την έλλειψη ενήλικων ανδρικών προτύπων μάθησης και συμπεριφοράς στο </w:t>
      </w:r>
      <w:r>
        <w:rPr>
          <w:lang w:eastAsia="el-GR"/>
        </w:rPr>
        <w:lastRenderedPageBreak/>
        <w:t xml:space="preserve">σχολείο </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(Majzub &amp; Rais, 2010; Montgomery, 2009)</w:t>
      </w:r>
      <w:r>
        <w:rPr>
          <w:lang w:eastAsia="el-GR"/>
        </w:rPr>
      </w:r>
      <w:r w:rsidRPr="00C54273">
        <w:rPr>
          <w:lang w:eastAsia="el-GR"/>
        </w:rPr>
        <w:t>.</w:t>
      </w:r>
      <w:r>
        <w:rPr>
          <w:lang w:eastAsia="el-GR"/>
        </w:rPr>
        <w:t xml:space="preserve"> Αντίστοιχα, η μειονοτική πολιτισμική καταγωγή έχει συχνά βρεθεί να σχετίζεται με δυσκολίες στη σχολική μάθηση και χαμηλή ακαδημαϊκή επίδοση </w:t>
      </w:r>
      <w:r>
        <w:rPr>
          <w:lang w:eastAsia="el-GR"/>
        </w:rPr>
      </w:r>
      <w:r>
        <w:rPr>
          <w:lang w:eastAsia="el-GR"/>
        </w:rPr>
        <w:instrText xml:space="preserve"/>
      </w:r>
      <w:r>
        <w:rPr>
          <w:lang w:eastAsia="el-GR"/>
        </w:rPr>
      </w:r>
      <w:r>
        <w:rPr>
          <w:noProof/>
          <w:lang w:eastAsia="el-GR"/>
        </w:rPr>
        <w:t>(Dustmann et al., 2010)</w:t>
      </w:r>
      <w:r>
        <w:rPr>
          <w:lang w:eastAsia="el-GR"/>
        </w:rPr>
      </w:r>
      <w:r>
        <w:rPr>
          <w:lang w:eastAsia="el-GR"/>
        </w:rPr>
        <w:t xml:space="preserve">, φαινόμενο που συχνά αποδίδεται στην υπερβολική έμφαση των διαφόρων διδακτικών αντικειμένων στις γλωσσικές ικανότητες, αλλά και στο γεγονός ότι τα αναλυτικά προγράμματα και το χρονοδιάγραμμα της εφαρμογής τους δεν λαμβάνουν υπόψη την ύπαρξη αλλοδαπών μαθητών στην τάξη </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(Ζμπάινος, 2002; Θωμά, 2010)</w:t>
      </w:r>
      <w:r>
        <w:rPr>
          <w:lang w:eastAsia="el-GR"/>
        </w:rPr>
      </w:r>
      <w:r>
        <w:rPr>
          <w:lang w:eastAsia="el-GR"/>
        </w:rPr>
        <w:t>.</w:t>
      </w:r>
    </w:p>
    <w:p w14:paraId="3A267CC5" w14:textId="77777777" w:rsidR="00EC35AC" w:rsidRPr="004F782C" w:rsidRDefault="00EC35AC" w:rsidP="007136D3">
      <w:pPr>
        <w:pStyle w:val="8"/>
        <w:rPr>
          <w:lang w:eastAsia="el-GR"/>
        </w:rPr>
      </w:pPr>
      <w:r>
        <w:rPr>
          <w:lang w:eastAsia="el-GR"/>
        </w:rPr>
        <w:t xml:space="preserve">Αξίζει να σημειωθεί ότι τα ποσοστά των περιπτώσεων </w:t>
      </w:r>
      <w:proofErr w:type="spellStart"/>
      <w:r>
        <w:rPr>
          <w:lang w:eastAsia="el-GR"/>
        </w:rPr>
        <w:t>υποεπίδοσης</w:t>
      </w:r>
      <w:proofErr w:type="spellEnd"/>
      <w:r>
        <w:rPr>
          <w:lang w:eastAsia="el-GR"/>
        </w:rPr>
        <w:t xml:space="preserve"> φάνηκαν να είναι ελαφρώς αυξημένα για τους μαθητές Γυμνασίου σε σχέση με τους μαθητές Δημοτικού. Η αύξηση αυτή θα μπορούσε να αποδοθεί στο διαφορετικό και λιγότερο πληθωριστικό σύστημα εκπαιδευτικής αξιολόγησης της δευτεροβάθμιας εκπαίδευσης, καθώς στο δείγμα μαθητών Δημοτικού παρατηρείται το «φαινόμενο της οροφής», δηλαδή η χαμηλότερη δυνατή βαθμολογία των παιδιών είναι ήδη αρκετά υψηλή στη </w:t>
      </w:r>
      <w:proofErr w:type="spellStart"/>
      <w:r>
        <w:rPr>
          <w:lang w:eastAsia="el-GR"/>
        </w:rPr>
        <w:t>δεκάβαθμη</w:t>
      </w:r>
      <w:proofErr w:type="spellEnd"/>
      <w:r>
        <w:rPr>
          <w:lang w:eastAsia="el-GR"/>
        </w:rPr>
        <w:t xml:space="preserve"> κλίμακα αξιολόγησης </w:t>
      </w:r>
      <w:r>
        <w:rPr>
          <w:lang w:eastAsia="el-GR"/>
        </w:rPr>
      </w:r>
      <w:r>
        <w:rPr>
          <w:lang w:eastAsia="el-GR"/>
        </w:rPr>
        <w:instrText xml:space="preserve"/>
      </w:r>
      <w:r>
        <w:rPr>
          <w:lang w:eastAsia="el-GR"/>
        </w:rPr>
      </w:r>
      <w:r>
        <w:rPr>
          <w:lang w:eastAsia="el-GR"/>
        </w:rPr>
        <w:instrText xml:space="preserve"/>
      </w:r>
      <w:r>
        <w:rPr>
          <w:lang w:eastAsia="el-GR"/>
        </w:rPr>
      </w:r>
      <w:r>
        <w:rPr>
          <w:lang w:eastAsia="el-GR"/>
        </w:rPr>
      </w:r>
      <w:r>
        <w:rPr>
          <w:lang w:eastAsia="el-GR"/>
        </w:rPr>
      </w:r>
      <w:r>
        <w:rPr>
          <w:lang w:eastAsia="el-GR"/>
        </w:rPr>
      </w:r>
      <w:r>
        <w:rPr>
          <w:noProof/>
          <w:lang w:eastAsia="el-GR"/>
        </w:rPr>
        <w:t>(Ζμπάινος, 2002)</w:t>
      </w:r>
      <w:r>
        <w:rPr>
          <w:lang w:eastAsia="el-GR"/>
        </w:rPr>
      </w:r>
      <w:r>
        <w:rPr>
          <w:lang w:eastAsia="el-GR"/>
        </w:rPr>
        <w:t xml:space="preserve">, γεγονός το οποίο καθιστά ιδιαίτερα δύσκολο τον εντοπισμό μαθητών με </w:t>
      </w:r>
      <w:proofErr w:type="spellStart"/>
      <w:r>
        <w:rPr>
          <w:lang w:eastAsia="el-GR"/>
        </w:rPr>
        <w:t>υποεπίδοση</w:t>
      </w:r>
      <w:proofErr w:type="spellEnd"/>
      <w:r>
        <w:rPr>
          <w:lang w:eastAsia="el-GR"/>
        </w:rPr>
        <w:t xml:space="preserve"> στην πρωτοβάθμια εκπαίδευση. </w:t>
      </w:r>
    </w:p>
    <w:p w14:paraId="718D754B" w14:textId="77777777" w:rsidR="00EC35AC" w:rsidRPr="00231253" w:rsidRDefault="00EC35AC" w:rsidP="007136D3">
      <w:pPr>
        <w:pStyle w:val="8"/>
        <w:rPr>
          <w:lang w:eastAsia="el-GR"/>
        </w:rPr>
      </w:pPr>
      <w:r>
        <w:rPr>
          <w:lang w:eastAsia="el-GR"/>
        </w:rPr>
        <w:t xml:space="preserve">Επιπλέον, μια άλλη κατηγορία μαθητών του δείγματος φάνηκε να παρουσιάζει επιδόσεις υψηλότερες από εκείνες που υπόσχεται το νοητικό τους δυναμικό. Όπως επισημαίνεται από την προηγούμενη βιβλιογραφία, η ακαδημαϊκή </w:t>
      </w:r>
      <w:proofErr w:type="spellStart"/>
      <w:r>
        <w:rPr>
          <w:lang w:eastAsia="el-GR"/>
        </w:rPr>
        <w:t>υπερεπίδοση</w:t>
      </w:r>
      <w:proofErr w:type="spellEnd"/>
      <w:r>
        <w:rPr>
          <w:lang w:eastAsia="el-GR"/>
        </w:rPr>
        <w:t xml:space="preserve"> των μαθητών συνήθως είναι αποτέλεσμα παραγόντων που σχετίζονται με την εκπαιδευτική αξιολόγηση </w:t>
      </w:r>
      <w:r>
        <w:rPr>
          <w:lang w:eastAsia="el-GR"/>
        </w:rPr>
      </w:r>
      <w:r>
        <w:rPr>
          <w:lang w:eastAsia="el-GR"/>
        </w:rPr>
        <w:instrText xml:space="preserve"/>
      </w:r>
      <w:r>
        <w:rPr>
          <w:lang w:eastAsia="el-GR"/>
        </w:rPr>
      </w:r>
      <w:r>
        <w:rPr>
          <w:noProof/>
          <w:lang w:eastAsia="el-GR"/>
        </w:rPr>
        <w:t>(Behrens &amp; Vernon, 1978)</w:t>
      </w:r>
      <w:r>
        <w:rPr>
          <w:lang w:eastAsia="el-GR"/>
        </w:rPr>
      </w:r>
      <w:r w:rsidRPr="00231253">
        <w:rPr>
          <w:lang w:eastAsia="el-GR"/>
        </w:rPr>
        <w:t>.</w:t>
      </w:r>
      <w:r>
        <w:rPr>
          <w:lang w:eastAsia="el-GR"/>
        </w:rPr>
        <w:t xml:space="preserve"> Όσον αφορά στο συγκεκριμένο δείγμα, διαπιστώθηκε η </w:t>
      </w:r>
      <w:proofErr w:type="spellStart"/>
      <w:r>
        <w:rPr>
          <w:lang w:eastAsia="el-GR"/>
        </w:rPr>
        <w:t>υπερεκπροσώπηση</w:t>
      </w:r>
      <w:proofErr w:type="spellEnd"/>
      <w:r>
        <w:rPr>
          <w:lang w:eastAsia="el-GR"/>
        </w:rPr>
        <w:t xml:space="preserve"> των ημεδαπών και των κοριτσιών στην ομάδα των μαθητών με ακαδημαϊκή </w:t>
      </w:r>
      <w:proofErr w:type="spellStart"/>
      <w:r>
        <w:rPr>
          <w:lang w:eastAsia="el-GR"/>
        </w:rPr>
        <w:t>υπερεπίδοση</w:t>
      </w:r>
      <w:proofErr w:type="spellEnd"/>
      <w:r>
        <w:rPr>
          <w:lang w:eastAsia="el-GR"/>
        </w:rPr>
        <w:t xml:space="preserve">. Μάλιστα, ο αριθμός των κοριτσιών που παρουσίασαν </w:t>
      </w:r>
      <w:proofErr w:type="spellStart"/>
      <w:r>
        <w:rPr>
          <w:lang w:eastAsia="el-GR"/>
        </w:rPr>
        <w:t>υπερεπίδοση</w:t>
      </w:r>
      <w:proofErr w:type="spellEnd"/>
      <w:r>
        <w:rPr>
          <w:lang w:eastAsia="el-GR"/>
        </w:rPr>
        <w:t xml:space="preserve"> φάνηκε να αυξάνεται ραγδαία με το πέρασμα στη δευτεροβάθμια εκπαίδευση και την απομάκρυνση από το πληθωριστικό σύστημα αξιολόγησης του Δημοτικού. Η </w:t>
      </w:r>
      <w:proofErr w:type="spellStart"/>
      <w:r>
        <w:rPr>
          <w:lang w:eastAsia="el-GR"/>
        </w:rPr>
        <w:t>υπερεπίδοση</w:t>
      </w:r>
      <w:proofErr w:type="spellEnd"/>
      <w:r>
        <w:rPr>
          <w:lang w:eastAsia="el-GR"/>
        </w:rPr>
        <w:t xml:space="preserve"> των κοριτσιών κυρίως αποτελεί φαινόμενο, που παρατηρείται διεθνώς </w:t>
      </w:r>
      <w:r>
        <w:rPr>
          <w:lang w:val="en-US" w:eastAsia="el-GR"/>
        </w:rPr>
      </w:r>
      <w:r w:rsidRPr="00440DC1">
        <w:rPr>
          <w:lang w:eastAsia="el-GR"/>
        </w:rPr>
        <w:instrText xml:space="preserve"/>
      </w:r>
      <w:r>
        <w:rPr>
          <w:lang w:val="en-US" w:eastAsia="el-GR"/>
        </w:rPr>
        <w:instrText/>
      </w:r>
      <w:r w:rsidRPr="00440DC1">
        <w:rPr>
          <w:lang w:eastAsia="el-GR"/>
        </w:rPr>
        <w:instrText xml:space="preserve"/>
      </w:r>
      <w:r>
        <w:rPr>
          <w:lang w:val="en-US" w:eastAsia="el-GR"/>
        </w:rPr>
        <w:instrText/>
      </w:r>
      <w:r w:rsidRPr="00440DC1">
        <w:rPr>
          <w:lang w:eastAsia="el-GR"/>
        </w:rPr>
        <w:instrText/>
      </w:r>
      <w:r>
        <w:rPr>
          <w:lang w:val="en-US" w:eastAsia="el-GR"/>
        </w:rPr>
        <w:instrText/>
      </w:r>
      <w:r w:rsidRPr="00440DC1">
        <w:rPr>
          <w:lang w:eastAsia="el-GR"/>
        </w:rPr>
        <w:instrText xml:space="preserve"/>
      </w:r>
      <w:r>
        <w:rPr>
          <w:lang w:val="en-US" w:eastAsia="el-GR"/>
        </w:rPr>
      </w:r>
      <w:r w:rsidRPr="00440DC1">
        <w:rPr>
          <w:lang w:eastAsia="el-GR"/>
        </w:rPr>
        <w:instrText xml:space="preserve"/>
      </w:r>
      <w:r>
        <w:rPr>
          <w:lang w:val="en-US" w:eastAsia="el-GR"/>
        </w:rPr>
        <w:instrText/>
      </w:r>
      <w:r w:rsidRPr="00440DC1">
        <w:rPr>
          <w:lang w:eastAsia="el-GR"/>
        </w:rPr>
        <w:instrText xml:space="preserve"/>
      </w:r>
      <w:r>
        <w:rPr>
          <w:lang w:val="en-US" w:eastAsia="el-GR"/>
        </w:rPr>
        <w:instrText/>
      </w:r>
      <w:r w:rsidRPr="00440DC1">
        <w:rPr>
          <w:lang w:eastAsia="el-GR"/>
        </w:rPr>
        <w:instrText/>
      </w:r>
      <w:r>
        <w:rPr>
          <w:lang w:val="en-US" w:eastAsia="el-GR"/>
        </w:rPr>
        <w:instrText/>
      </w:r>
      <w:r w:rsidRPr="00440DC1">
        <w:rPr>
          <w:lang w:eastAsia="el-GR"/>
        </w:rPr>
        <w:instrText/>
      </w:r>
      <w:r>
        <w:rPr>
          <w:lang w:val="en-US" w:eastAsia="el-GR"/>
        </w:rPr>
        <w:instrText/>
      </w:r>
      <w:r w:rsidRPr="00440DC1">
        <w:rPr>
          <w:lang w:eastAsia="el-GR"/>
        </w:rPr>
        <w:instrText xml:space="preserve"/>
      </w:r>
      <w:r>
        <w:rPr>
          <w:lang w:val="en-US" w:eastAsia="el-GR"/>
        </w:rPr>
      </w:r>
      <w:r>
        <w:rPr>
          <w:lang w:val="en-US" w:eastAsia="el-GR"/>
        </w:rPr>
      </w:r>
      <w:r>
        <w:rPr>
          <w:lang w:val="en-US" w:eastAsia="el-GR"/>
        </w:rPr>
      </w:r>
      <w:r>
        <w:rPr>
          <w:lang w:val="en-US" w:eastAsia="el-GR"/>
        </w:rPr>
      </w:r>
      <w:r w:rsidRPr="00440DC1">
        <w:rPr>
          <w:noProof/>
          <w:lang w:eastAsia="el-GR"/>
        </w:rPr>
        <w:t>(</w:t>
      </w:r>
      <w:r>
        <w:rPr>
          <w:noProof/>
          <w:lang w:val="en-US" w:eastAsia="el-GR"/>
        </w:rPr>
        <w:t>Duff</w:t>
      </w:r>
      <w:r w:rsidRPr="00440DC1">
        <w:rPr>
          <w:noProof/>
          <w:lang w:eastAsia="el-GR"/>
        </w:rPr>
        <w:t xml:space="preserve"> &amp; </w:t>
      </w:r>
      <w:r>
        <w:rPr>
          <w:noProof/>
          <w:lang w:val="en-US" w:eastAsia="el-GR"/>
        </w:rPr>
        <w:t>Siegel</w:t>
      </w:r>
      <w:r w:rsidRPr="00440DC1">
        <w:rPr>
          <w:noProof/>
          <w:lang w:eastAsia="el-GR"/>
        </w:rPr>
        <w:t xml:space="preserve">, 1960; </w:t>
      </w:r>
      <w:r>
        <w:rPr>
          <w:noProof/>
          <w:lang w:val="en-US" w:eastAsia="el-GR"/>
        </w:rPr>
        <w:t>Houtte</w:t>
      </w:r>
      <w:r w:rsidRPr="00440DC1">
        <w:rPr>
          <w:noProof/>
          <w:lang w:eastAsia="el-GR"/>
        </w:rPr>
        <w:t xml:space="preserve">, 2004; </w:t>
      </w:r>
      <w:r>
        <w:rPr>
          <w:noProof/>
          <w:lang w:val="en-US" w:eastAsia="el-GR"/>
        </w:rPr>
        <w:t>Weis</w:t>
      </w:r>
      <w:r w:rsidRPr="00440DC1">
        <w:rPr>
          <w:noProof/>
          <w:lang w:eastAsia="el-GR"/>
        </w:rPr>
        <w:t xml:space="preserve"> </w:t>
      </w:r>
      <w:r>
        <w:rPr>
          <w:noProof/>
          <w:lang w:val="en-US" w:eastAsia="el-GR"/>
        </w:rPr>
        <w:t>et</w:t>
      </w:r>
      <w:r w:rsidRPr="00440DC1">
        <w:rPr>
          <w:noProof/>
          <w:lang w:eastAsia="el-GR"/>
        </w:rPr>
        <w:t xml:space="preserve"> </w:t>
      </w:r>
      <w:r>
        <w:rPr>
          <w:noProof/>
          <w:lang w:val="en-US" w:eastAsia="el-GR"/>
        </w:rPr>
        <w:t>al</w:t>
      </w:r>
      <w:r w:rsidRPr="00440DC1">
        <w:rPr>
          <w:noProof/>
          <w:lang w:eastAsia="el-GR"/>
        </w:rPr>
        <w:t>., 2013)</w:t>
      </w:r>
      <w:r>
        <w:rPr>
          <w:lang w:val="en-US" w:eastAsia="el-GR"/>
        </w:rPr>
      </w:r>
      <w:r>
        <w:rPr>
          <w:lang w:eastAsia="el-GR"/>
        </w:rPr>
        <w:t xml:space="preserve">. Σήμερα, είναι κοινή παραδοχή ότι οι σχολικές συμπεριφορές των κοριτσιών τείνουν να είναι πιο συμβατές με τα άδηλα κριτήρια εκπαιδευτικής αξιολόγησης, όπως είναι η συμμόρφωση, η επιμέλεια και η προσπάθεια, ανεξάρτητα από το μαθησιακό </w:t>
      </w:r>
      <w:r w:rsidR="009422F2">
        <w:rPr>
          <w:lang w:eastAsia="el-GR"/>
        </w:rPr>
        <w:t>αποτέλεσμα</w:t>
      </w:r>
      <w:r>
        <w:rPr>
          <w:lang w:eastAsia="el-GR"/>
        </w:rPr>
        <w:t xml:space="preserve"> και τα αμιγώς ακαδημαϊκά επιτεύγματα </w:t>
      </w:r>
      <w:r>
        <w:rPr>
          <w:lang w:eastAsia="el-GR"/>
        </w:rPr>
      </w:r>
      <w:r>
        <w:rPr>
          <w:lang w:eastAsia="el-GR"/>
        </w:rPr>
        <w:instrText xml:space="preserve"/>
      </w:r>
      <w:r>
        <w:rPr>
          <w:lang w:eastAsia="el-GR"/>
        </w:rPr>
      </w:r>
      <w:r>
        <w:rPr>
          <w:noProof/>
          <w:lang w:eastAsia="el-GR"/>
        </w:rPr>
        <w:t>(Houtte, 2004; Zbainos &amp; Hallam, 2002)</w:t>
      </w:r>
      <w:r>
        <w:rPr>
          <w:lang w:eastAsia="el-GR"/>
        </w:rPr>
      </w:r>
      <w:r w:rsidRPr="00943E6A">
        <w:rPr>
          <w:lang w:eastAsia="el-GR"/>
        </w:rPr>
        <w:t>.</w:t>
      </w:r>
      <w:r>
        <w:rPr>
          <w:lang w:eastAsia="el-GR"/>
        </w:rPr>
        <w:t xml:space="preserve"> Τα παραπάνω ευρήματα υπογραμμίζουν τόσο την ανάγκη για περαιτέρω εκπαιδευτική στήριξη των αλλοδαπών μαθητών στο ελληνικό σχολείο, όσο και την επίδραση κοινωνικών παραγόντων, όπως το φύλο, κατά την εκπαιδευτική αξιολόγηση.</w:t>
      </w:r>
    </w:p>
    <w:p w14:paraId="5AD9B561" w14:textId="77777777" w:rsidR="00EC35AC" w:rsidRDefault="00EC35AC" w:rsidP="007136D3">
      <w:pPr>
        <w:pStyle w:val="8"/>
        <w:rPr>
          <w:lang w:eastAsia="el-GR"/>
        </w:rPr>
      </w:pPr>
      <w:r>
        <w:rPr>
          <w:lang w:eastAsia="el-GR"/>
        </w:rPr>
        <w:t xml:space="preserve">Ανακεφαλαιώνοντας, τόσο η </w:t>
      </w:r>
      <w:proofErr w:type="spellStart"/>
      <w:r>
        <w:rPr>
          <w:lang w:eastAsia="el-GR"/>
        </w:rPr>
        <w:t>υποεπίδοση</w:t>
      </w:r>
      <w:proofErr w:type="spellEnd"/>
      <w:r>
        <w:rPr>
          <w:lang w:eastAsia="el-GR"/>
        </w:rPr>
        <w:t xml:space="preserve"> όσο και η </w:t>
      </w:r>
      <w:proofErr w:type="spellStart"/>
      <w:r>
        <w:rPr>
          <w:lang w:eastAsia="el-GR"/>
        </w:rPr>
        <w:t>υπερεπίδοση</w:t>
      </w:r>
      <w:proofErr w:type="spellEnd"/>
      <w:r>
        <w:rPr>
          <w:lang w:eastAsia="el-GR"/>
        </w:rPr>
        <w:t xml:space="preserve"> θα μπορούσαν να προσεγγισθούν ως συνέπεια των ασαφών και αποκλειστικά υποκειμενικών μεθόδων εκπαιδευτικής αξιολόγησης στην ελληνική πραγματικότητα. Επιπλέον, ενδέχεται και άλλα χαρακτηριστικά, όπως η προσωπικότητα, η συμμόρφωση και η επιμέλεια να συνεκτιμώνται ως στοιχεία με μεγαλύτερο συντελεστή βαρύτητας κατά την αξιολόγηση της επίδοσης των μαθητών στο ελληνικό σχολείο, ζητήματα που χρήζουν περαιτέρω διερεύνησης. </w:t>
      </w:r>
    </w:p>
    <w:p w14:paraId="6D10433F" w14:textId="77777777" w:rsidR="00EC35AC" w:rsidRPr="007A3C4E" w:rsidRDefault="00EC35AC" w:rsidP="00EC35AC">
      <w:pPr>
        <w:pStyle w:val="92"/>
        <w:rPr>
          <w:rFonts w:eastAsia="Times New Roman" w:cs="Times New Roman"/>
          <w:iCs/>
          <w:lang w:eastAsia="el-GR"/>
        </w:rPr>
      </w:pPr>
      <w:r w:rsidRPr="007A3C4E">
        <w:rPr>
          <w:rFonts w:eastAsia="Times New Roman" w:cs="Times New Roman"/>
          <w:iCs/>
          <w:lang w:eastAsia="el-GR"/>
        </w:rPr>
        <w:t>Εκπαιδευτικές προεκτάσεις</w:t>
      </w:r>
    </w:p>
    <w:p w14:paraId="23F0AF24" w14:textId="77777777" w:rsidR="00EC35AC" w:rsidRPr="00E9752A" w:rsidRDefault="00EC35AC" w:rsidP="007136D3">
      <w:pPr>
        <w:pStyle w:val="8"/>
        <w:rPr>
          <w:lang w:eastAsia="el-GR"/>
        </w:rPr>
      </w:pPr>
      <w:r>
        <w:rPr>
          <w:lang w:eastAsia="el-GR"/>
        </w:rPr>
        <w:t xml:space="preserve">Τα ακαδημαϊκά επιτεύγματα και το εκπαιδευτικό κεφάλαιο έχουν συνδεθεί με τη βελτίωση της ποιότητας ζωής, της </w:t>
      </w:r>
      <w:proofErr w:type="spellStart"/>
      <w:r>
        <w:rPr>
          <w:lang w:eastAsia="el-GR"/>
        </w:rPr>
        <w:t>κοινωνικο</w:t>
      </w:r>
      <w:proofErr w:type="spellEnd"/>
      <w:r>
        <w:rPr>
          <w:lang w:eastAsia="el-GR"/>
        </w:rPr>
        <w:t xml:space="preserve">-οικονομικής θέσης του ατόμου, </w:t>
      </w:r>
      <w:r>
        <w:rPr>
          <w:lang w:eastAsia="el-GR"/>
        </w:rPr>
        <w:lastRenderedPageBreak/>
        <w:t xml:space="preserve">καθώς και με την ευρύτερη κοινωνική και ατομική πρόοδο </w:t>
      </w:r>
      <w:r>
        <w:rPr>
          <w:lang w:eastAsia="el-GR"/>
        </w:rPr>
      </w:r>
      <w:r>
        <w:rPr>
          <w:lang w:eastAsia="el-GR"/>
        </w:rPr>
        <w:instrText xml:space="preserve"/>
      </w:r>
      <w:r>
        <w:rPr>
          <w:lang w:eastAsia="el-GR"/>
        </w:rPr>
      </w:r>
      <w:r>
        <w:rPr>
          <w:noProof/>
          <w:lang w:eastAsia="el-GR"/>
        </w:rPr>
        <w:t>(Mirowsky &amp; Ross, 2003)</w:t>
      </w:r>
      <w:r>
        <w:rPr>
          <w:lang w:eastAsia="el-GR"/>
        </w:rPr>
      </w:r>
      <w:r w:rsidRPr="00A45E64">
        <w:rPr>
          <w:lang w:eastAsia="el-GR"/>
        </w:rPr>
        <w:t xml:space="preserve">. </w:t>
      </w:r>
      <w:r>
        <w:rPr>
          <w:lang w:eastAsia="el-GR"/>
        </w:rPr>
        <w:t>Ο εμπλουτισμός</w:t>
      </w:r>
      <w:r w:rsidRPr="00A45E64">
        <w:rPr>
          <w:lang w:eastAsia="el-GR"/>
        </w:rPr>
        <w:t xml:space="preserve"> της γνώσης γύρω από τις ιδιαίτερες εκπαιδευτικές ανάγκες των</w:t>
      </w:r>
      <w:r>
        <w:rPr>
          <w:lang w:eastAsia="el-GR"/>
        </w:rPr>
        <w:t xml:space="preserve"> μαθητών με μη αναμενόμενη ακαδημαϊκή επίδοση και δη με </w:t>
      </w:r>
      <w:proofErr w:type="spellStart"/>
      <w:r>
        <w:rPr>
          <w:lang w:eastAsia="el-GR"/>
        </w:rPr>
        <w:t>υποεπίδοση</w:t>
      </w:r>
      <w:proofErr w:type="spellEnd"/>
      <w:r>
        <w:rPr>
          <w:lang w:eastAsia="el-GR"/>
        </w:rPr>
        <w:t xml:space="preserve"> </w:t>
      </w:r>
      <w:r w:rsidRPr="00A45E64">
        <w:rPr>
          <w:lang w:eastAsia="el-GR"/>
        </w:rPr>
        <w:t>μπορεί να συμβάλει αποφασιστικά</w:t>
      </w:r>
      <w:r>
        <w:rPr>
          <w:lang w:eastAsia="el-GR"/>
        </w:rPr>
        <w:t xml:space="preserve"> τόσο στη βελτίωση των μεθόδων εκπαιδευτικής αξιολόγησης και τη </w:t>
      </w:r>
      <w:proofErr w:type="spellStart"/>
      <w:r>
        <w:rPr>
          <w:lang w:eastAsia="el-GR"/>
        </w:rPr>
        <w:t>στοχευμένη</w:t>
      </w:r>
      <w:proofErr w:type="spellEnd"/>
      <w:r>
        <w:rPr>
          <w:lang w:eastAsia="el-GR"/>
        </w:rPr>
        <w:t xml:space="preserve"> επιμόρφωση των εκπαιδευτικών για τον καλύτερο έλεγχο της μεροληψίας κατά τη βαθμολόγηση των μαθητών. Επιπλέον, η αξιοποίηση των παραπάνω ευρημάτων και η περαιτέρω διερεύνηση της εμφάνισης μη αναμενόμενης ακαδημαϊκής επίδοσης μπορούν να αξιοποιηθούν για τη</w:t>
      </w:r>
      <w:r w:rsidRPr="00A45E64">
        <w:rPr>
          <w:lang w:eastAsia="el-GR"/>
        </w:rPr>
        <w:t xml:space="preserve"> διαμόρφωση και την εφαρμογή </w:t>
      </w:r>
      <w:r>
        <w:rPr>
          <w:lang w:eastAsia="el-GR"/>
        </w:rPr>
        <w:t xml:space="preserve">εξειδικευμένων παρεμβάσεων και </w:t>
      </w:r>
      <w:r w:rsidRPr="00A45E64">
        <w:rPr>
          <w:lang w:eastAsia="el-GR"/>
        </w:rPr>
        <w:t xml:space="preserve">καλών εκπαιδευτικών πρακτικών για τον περιορισμό της διαρροής των μαθητών υψηλών ικανοτήτων από την εκπαίδευση και την αύξηση των ευκαιριών πρόσβασης των μαθητών από μειονεκτικά περιβάλλοντα στην αγορά εργασίας και την </w:t>
      </w:r>
      <w:r w:rsidR="009422F2" w:rsidRPr="00A45E64">
        <w:rPr>
          <w:lang w:eastAsia="el-GR"/>
        </w:rPr>
        <w:t>ανώτατη</w:t>
      </w:r>
      <w:r w:rsidRPr="00A45E64">
        <w:rPr>
          <w:lang w:eastAsia="el-GR"/>
        </w:rPr>
        <w:t xml:space="preserve"> εκπαίδευση.</w:t>
      </w:r>
    </w:p>
    <w:p w14:paraId="637BB73E" w14:textId="77777777" w:rsidR="00EC35AC" w:rsidRPr="00E9752A" w:rsidRDefault="00EC35AC" w:rsidP="00EC35AC">
      <w:pPr>
        <w:pStyle w:val="92"/>
        <w:rPr>
          <w:lang w:eastAsia="el-GR"/>
        </w:rPr>
      </w:pPr>
      <w:r>
        <w:rPr>
          <w:lang w:eastAsia="el-GR"/>
        </w:rPr>
        <w:t>Περιορισμοί της έρευνας – Προτάσεις για μελλοντική έρευνα</w:t>
      </w:r>
    </w:p>
    <w:p w14:paraId="1C31A416" w14:textId="77777777" w:rsidR="00EC35AC" w:rsidRDefault="00EC35AC" w:rsidP="007136D3">
      <w:pPr>
        <w:pStyle w:val="8"/>
        <w:rPr>
          <w:lang w:eastAsia="el-GR"/>
        </w:rPr>
      </w:pPr>
      <w:r>
        <w:rPr>
          <w:lang w:eastAsia="el-GR"/>
        </w:rPr>
        <w:t>Παρά τη σημασία των παραπάνω ευρημάτων, ορισμένοι περιορισμοί καθιστούν αναγκαία την περαιτέρω διερεύνηση του θέματος. Επί παραδείγματι, στην παρούσα έρευνα συμμετείχε ένας περιορισμένος αριθμός μαθητών, οι οποίοι προσεγγίστηκαν μέσω ευκαιριακής δειγματοληψίας κι ως εκ τούτου δεν είναι δυνατή η γενίκευση των αποτελεσμάτων για τον συνολικό μαθητικό πληθυσμό των ελληνικών σχολείων. Έτσι, συνίσταται η περαιτέρω διερεύνηση της σχέσης μεταξύ νοημοσύνης και ακαδημαϊκής επίδοσης σε μεγαλύτερο δείγμα παιδιών κι εφήβων.</w:t>
      </w:r>
    </w:p>
    <w:p w14:paraId="37709C4F" w14:textId="77777777" w:rsidR="00EC35AC" w:rsidRDefault="00EC35AC" w:rsidP="007136D3">
      <w:pPr>
        <w:pStyle w:val="8"/>
        <w:rPr>
          <w:lang w:eastAsia="el-GR"/>
        </w:rPr>
      </w:pPr>
      <w:r>
        <w:rPr>
          <w:lang w:eastAsia="el-GR"/>
        </w:rPr>
        <w:t xml:space="preserve">Επιπλέον, αν και εντοπίστηκε ένας σημαντικός αριθμός μαθητών με ακαδημαϊκή </w:t>
      </w:r>
      <w:proofErr w:type="spellStart"/>
      <w:r>
        <w:rPr>
          <w:lang w:eastAsia="el-GR"/>
        </w:rPr>
        <w:t>υποεπίδοση</w:t>
      </w:r>
      <w:proofErr w:type="spellEnd"/>
      <w:r>
        <w:rPr>
          <w:lang w:eastAsia="el-GR"/>
        </w:rPr>
        <w:t xml:space="preserve"> και </w:t>
      </w:r>
      <w:proofErr w:type="spellStart"/>
      <w:r>
        <w:rPr>
          <w:lang w:eastAsia="el-GR"/>
        </w:rPr>
        <w:t>υπερεπίδοση</w:t>
      </w:r>
      <w:proofErr w:type="spellEnd"/>
      <w:r>
        <w:rPr>
          <w:lang w:eastAsia="el-GR"/>
        </w:rPr>
        <w:t>, τα αίτια εμφάνισης των δύο αυτών αντιθετικών φαινομένων παραμένουν αδιερεύνητα. Κατά συνέπεια, προτείνεται η μελλοντική διερεύνηση των παραγόντων που φαίνεται να συνδέονται με την εμφάνιση μη αναμενόμενης ακαδημαϊκής επίδοσης, καθώς και των περαιτέρω δυνατοτήτων και προκλήσεων αναφορικά με τον εντοπισμό και την υποστήριξη των μαθητών με μη αναμενόμενη επίδοση.</w:t>
      </w:r>
    </w:p>
    <w:p w14:paraId="76296501" w14:textId="77777777" w:rsidR="0063614E" w:rsidRDefault="0063614E" w:rsidP="007136D3">
      <w:pPr>
        <w:pStyle w:val="8"/>
        <w:rPr>
          <w:lang w:eastAsia="el-GR"/>
        </w:rPr>
      </w:pPr>
    </w:p>
    <w:p w14:paraId="2D14BD31" w14:textId="77777777" w:rsidR="00EC35AC" w:rsidRPr="00E9752A" w:rsidRDefault="00EC35AC" w:rsidP="00EC35AC">
      <w:pPr>
        <w:pStyle w:val="AbstractReferencesHeading"/>
        <w:rPr>
          <w:lang w:val="en-US" w:eastAsia="el-GR"/>
        </w:rPr>
      </w:pPr>
      <w:r>
        <w:rPr>
          <w:lang w:eastAsia="el-GR"/>
        </w:rPr>
        <w:t>Βιβλιογραφία</w:t>
      </w:r>
    </w:p>
    <w:p w14:paraId="0FAAD4F3" w14:textId="77777777" w:rsidR="00EC35AC" w:rsidRPr="00EC35AC" w:rsidRDefault="00EC35AC" w:rsidP="00EC35AC">
      <w:pPr>
        <w:pStyle w:val="12"/>
        <w:rPr>
          <w:lang w:val="en-GB"/>
        </w:rPr>
      </w:pPr>
      <w:r w:rsidRPr="00E9752A">
        <w:rPr>
          <w:noProof/>
          <w:lang w:val="en-US"/>
        </w:rPr>
      </w:r>
      <w:r w:rsidRPr="00EC35AC">
        <w:rPr>
          <w:lang w:val="en-GB"/>
        </w:rPr>
        <w:instrText xml:space="preserve"/>
      </w:r>
      <w:r w:rsidRPr="00E9752A">
        <w:rPr>
          <w:noProof/>
          <w:lang w:val="en-US"/>
        </w:rPr>
      </w:r>
      <w:r w:rsidRPr="00EC35AC">
        <w:rPr>
          <w:lang w:val="en-GB"/>
        </w:rPr>
        <w:t xml:space="preserve">Anderson, E. S., &amp; Keith, T. Z. (1997). A Longitudinal Test of a Model of Academic Success for At-Risk High School Students. </w:t>
      </w:r>
      <w:r w:rsidRPr="00EC35AC">
        <w:rPr>
          <w:i/>
          <w:lang w:val="en-GB"/>
        </w:rPr>
        <w:t>The Journal of Educational Research, 90</w:t>
      </w:r>
      <w:r w:rsidRPr="00EC35AC">
        <w:rPr>
          <w:lang w:val="en-GB"/>
        </w:rPr>
        <w:t xml:space="preserve">(5), 259-268. </w:t>
      </w:r>
    </w:p>
    <w:p w14:paraId="27B82115" w14:textId="77777777" w:rsidR="00EC35AC" w:rsidRPr="00EC35AC" w:rsidRDefault="00EC35AC" w:rsidP="00EC35AC">
      <w:pPr>
        <w:pStyle w:val="12"/>
        <w:rPr>
          <w:lang w:val="en-GB"/>
        </w:rPr>
      </w:pPr>
      <w:r w:rsidRPr="00EC35AC">
        <w:rPr>
          <w:lang w:val="en-GB"/>
        </w:rPr>
        <w:t xml:space="preserve">Behrens, L. T., &amp; Vernon, P. E. (1978). Personality correlates of over-achievement and under-achievement. </w:t>
      </w:r>
      <w:r w:rsidRPr="00EC35AC">
        <w:rPr>
          <w:i/>
          <w:lang w:val="en-GB"/>
        </w:rPr>
        <w:t>British Journal of Educational Psychology, 48</w:t>
      </w:r>
      <w:r w:rsidRPr="00EC35AC">
        <w:rPr>
          <w:lang w:val="en-GB"/>
        </w:rPr>
        <w:t>(3), 290-297. doi:doi:10.1111/j.2044-8279.1978.tb03015.x</w:t>
      </w:r>
    </w:p>
    <w:p w14:paraId="5DD9DBF3" w14:textId="77777777" w:rsidR="00EC35AC" w:rsidRPr="00EC35AC" w:rsidRDefault="00EC35AC" w:rsidP="00EC35AC">
      <w:pPr>
        <w:pStyle w:val="12"/>
        <w:rPr>
          <w:lang w:val="en-GB"/>
        </w:rPr>
      </w:pPr>
      <w:r w:rsidRPr="00EC35AC">
        <w:rPr>
          <w:lang w:val="en-GB"/>
        </w:rPr>
        <w:t xml:space="preserve">Brewer, E. W., Hollingsworth, C., &amp; Campbell, A. C. (1995). Characteristics and Theories of the Overachiever. </w:t>
      </w:r>
      <w:r w:rsidRPr="00EC35AC">
        <w:rPr>
          <w:i/>
          <w:lang w:val="en-GB"/>
        </w:rPr>
        <w:t>SAEOPP Journal, 1</w:t>
      </w:r>
      <w:r w:rsidRPr="00EC35AC">
        <w:rPr>
          <w:lang w:val="en-GB"/>
        </w:rPr>
        <w:t xml:space="preserve">(3), 9-32. </w:t>
      </w:r>
    </w:p>
    <w:p w14:paraId="09D7D166" w14:textId="77777777" w:rsidR="00EC35AC" w:rsidRPr="00EC35AC" w:rsidRDefault="00EC35AC" w:rsidP="00EC35AC">
      <w:pPr>
        <w:pStyle w:val="12"/>
        <w:rPr>
          <w:lang w:val="en-GB"/>
        </w:rPr>
      </w:pPr>
      <w:r w:rsidRPr="00EC35AC">
        <w:rPr>
          <w:lang w:val="en-GB"/>
        </w:rPr>
        <w:t xml:space="preserve">Brooks-Gunn, J., Klebanov, P. K., &amp; Duncan, G. J. (1996). Ethnic differences in children's intelligence test scores: role of economic deprivation, home environment, and maternal characteristics. </w:t>
      </w:r>
      <w:r w:rsidRPr="00EC35AC">
        <w:rPr>
          <w:i/>
          <w:lang w:val="en-GB"/>
        </w:rPr>
        <w:t>Child Dev, 67</w:t>
      </w:r>
      <w:r w:rsidRPr="00EC35AC">
        <w:rPr>
          <w:lang w:val="en-GB"/>
        </w:rPr>
        <w:t xml:space="preserve">(2), 396-408. </w:t>
      </w:r>
    </w:p>
    <w:p w14:paraId="3788DA8C" w14:textId="77777777" w:rsidR="00EC35AC" w:rsidRPr="00EC35AC" w:rsidRDefault="00EC35AC" w:rsidP="00EC35AC">
      <w:pPr>
        <w:pStyle w:val="12"/>
        <w:rPr>
          <w:lang w:val="en-GB"/>
        </w:rPr>
      </w:pPr>
      <w:r w:rsidRPr="00EC35AC">
        <w:rPr>
          <w:lang w:val="en-GB"/>
        </w:rPr>
        <w:t xml:space="preserve">Deary, I. J., Strand, S., Smith, P., &amp; Fernandes, C. (2007). Intelligence and educational achievement. </w:t>
      </w:r>
      <w:r w:rsidRPr="00EC35AC">
        <w:rPr>
          <w:i/>
          <w:lang w:val="en-GB"/>
        </w:rPr>
        <w:t>Intelligence, 35</w:t>
      </w:r>
      <w:r w:rsidRPr="00EC35AC">
        <w:rPr>
          <w:lang w:val="en-GB"/>
        </w:rPr>
        <w:t>(1), 13-21. doi:</w:t>
      </w:r>
      <w:hyperlink r:id="rId12" w:history="1">
        <w:r w:rsidRPr="00486875">
          <w:rPr>
            <w:rStyle w:val="-"/>
            <w:color w:val="0D78CA" w:themeColor="background2" w:themeShade="80"/>
            <w:lang w:val="en-GB"/>
          </w:rPr>
          <w:t>https://doi.org/10.1016/j.intell.2006.02.001</w:t>
        </w:r>
      </w:hyperlink>
    </w:p>
    <w:p w14:paraId="1834F1F2" w14:textId="77777777" w:rsidR="00EC35AC" w:rsidRPr="00EC35AC" w:rsidRDefault="00EC35AC" w:rsidP="00EC35AC">
      <w:pPr>
        <w:pStyle w:val="12"/>
        <w:rPr>
          <w:lang w:val="en-GB"/>
        </w:rPr>
      </w:pPr>
      <w:r w:rsidRPr="00EC35AC">
        <w:rPr>
          <w:lang w:val="en-GB"/>
        </w:rPr>
        <w:lastRenderedPageBreak/>
        <w:t xml:space="preserve">Duff, O. L., &amp; Siegel, L. (1960). Biographical factors associated with academic over- and underachievement. </w:t>
      </w:r>
      <w:r w:rsidRPr="00EC35AC">
        <w:rPr>
          <w:i/>
          <w:lang w:val="en-GB"/>
        </w:rPr>
        <w:t>Journal of Educational Psychology, 51</w:t>
      </w:r>
      <w:r w:rsidRPr="00EC35AC">
        <w:rPr>
          <w:lang w:val="en-GB"/>
        </w:rPr>
        <w:t>(1), 43-46. doi:10.1037/h0038990</w:t>
      </w:r>
    </w:p>
    <w:p w14:paraId="42329686" w14:textId="77777777" w:rsidR="00EC35AC" w:rsidRPr="00EC35AC" w:rsidRDefault="00EC35AC" w:rsidP="00EC35AC">
      <w:pPr>
        <w:pStyle w:val="12"/>
        <w:rPr>
          <w:lang w:val="en-GB"/>
        </w:rPr>
      </w:pPr>
      <w:r w:rsidRPr="00EC35AC">
        <w:rPr>
          <w:lang w:val="en-GB"/>
        </w:rPr>
        <w:t xml:space="preserve">Dustmann, C., Machin, S., &amp; Schönberg, U. (2010). Ethnicity and Educational Achievement in Compulsory Schooling. </w:t>
      </w:r>
      <w:r w:rsidRPr="00EC35AC">
        <w:rPr>
          <w:i/>
          <w:lang w:val="en-GB"/>
        </w:rPr>
        <w:t>The Economic Journal, 120</w:t>
      </w:r>
      <w:r w:rsidRPr="00EC35AC">
        <w:rPr>
          <w:lang w:val="en-GB"/>
        </w:rPr>
        <w:t>(546), F272-F297. doi:10.1111/j.1468-0297.2010.02377.x</w:t>
      </w:r>
    </w:p>
    <w:p w14:paraId="29C562B4" w14:textId="77777777" w:rsidR="00EC35AC" w:rsidRPr="00EC35AC" w:rsidRDefault="00EC35AC" w:rsidP="00EC35AC">
      <w:pPr>
        <w:pStyle w:val="12"/>
        <w:rPr>
          <w:lang w:val="en-GB"/>
        </w:rPr>
      </w:pPr>
      <w:r w:rsidRPr="00EC35AC">
        <w:rPr>
          <w:lang w:val="en-GB"/>
        </w:rPr>
        <w:t xml:space="preserve">European-Commision. (2017). </w:t>
      </w:r>
      <w:r w:rsidRPr="00EC35AC">
        <w:rPr>
          <w:i/>
          <w:lang w:val="en-GB"/>
        </w:rPr>
        <w:t>Education and Training Monitor 2017: Greece</w:t>
      </w:r>
      <w:r w:rsidRPr="00EC35AC">
        <w:rPr>
          <w:lang w:val="en-GB"/>
        </w:rPr>
        <w:t>. Luxembourg: Publication Office of European Union.</w:t>
      </w:r>
    </w:p>
    <w:p w14:paraId="14686CEF" w14:textId="77777777" w:rsidR="00EC35AC" w:rsidRPr="00EC35AC" w:rsidRDefault="00EC35AC" w:rsidP="00EC35AC">
      <w:pPr>
        <w:pStyle w:val="12"/>
        <w:rPr>
          <w:lang w:val="en-GB"/>
        </w:rPr>
      </w:pPr>
      <w:r w:rsidRPr="00EC35AC">
        <w:rPr>
          <w:lang w:val="en-GB"/>
        </w:rPr>
        <w:t xml:space="preserve">Hartog, J., &amp; Oosterbeek, H. (1998). Health, wealth and happiness: why pursue a higher education? </w:t>
      </w:r>
      <w:r w:rsidRPr="00EC35AC">
        <w:rPr>
          <w:i/>
          <w:lang w:val="en-GB"/>
        </w:rPr>
        <w:t>Economics of Education Review, 17</w:t>
      </w:r>
      <w:r w:rsidRPr="00EC35AC">
        <w:rPr>
          <w:lang w:val="en-GB"/>
        </w:rPr>
        <w:t>(3), 245-256. doi:</w:t>
      </w:r>
      <w:hyperlink r:id="rId13" w:history="1">
        <w:r w:rsidRPr="00486875">
          <w:rPr>
            <w:rStyle w:val="-"/>
            <w:color w:val="0D78CA" w:themeColor="background2" w:themeShade="80"/>
            <w:lang w:val="en-GB"/>
          </w:rPr>
          <w:t>https://doi.org/10.1016/S0272-7757(97)00064-2</w:t>
        </w:r>
      </w:hyperlink>
    </w:p>
    <w:p w14:paraId="0527C2A0" w14:textId="77777777" w:rsidR="00EC35AC" w:rsidRPr="00EC35AC" w:rsidRDefault="00EC35AC" w:rsidP="00EC35AC">
      <w:pPr>
        <w:pStyle w:val="12"/>
        <w:rPr>
          <w:lang w:val="en-GB"/>
        </w:rPr>
      </w:pPr>
      <w:r w:rsidRPr="00EC35AC">
        <w:rPr>
          <w:lang w:val="en-GB"/>
        </w:rPr>
        <w:t xml:space="preserve">Houtte, M. V. (2004). Why boys achieve less at school than girls: the difference between boys' and girls' academic culture. </w:t>
      </w:r>
      <w:r w:rsidRPr="00EC35AC">
        <w:rPr>
          <w:i/>
          <w:lang w:val="en-GB"/>
        </w:rPr>
        <w:t>Educational Studies, 30</w:t>
      </w:r>
      <w:r w:rsidRPr="00EC35AC">
        <w:rPr>
          <w:lang w:val="en-GB"/>
        </w:rPr>
        <w:t>(2), 159-173. doi:10.1080/0305569032000159804</w:t>
      </w:r>
    </w:p>
    <w:p w14:paraId="616237A2" w14:textId="77777777" w:rsidR="00EC35AC" w:rsidRPr="00EC35AC" w:rsidRDefault="00EC35AC" w:rsidP="00EC35AC">
      <w:pPr>
        <w:pStyle w:val="12"/>
        <w:rPr>
          <w:lang w:val="en-GB"/>
        </w:rPr>
      </w:pPr>
      <w:r w:rsidRPr="00EC35AC">
        <w:rPr>
          <w:lang w:val="en-GB"/>
        </w:rPr>
        <w:t xml:space="preserve">Hubbard, L. (2005). The role of gender in academic achievement. </w:t>
      </w:r>
      <w:r w:rsidRPr="00EC35AC">
        <w:rPr>
          <w:i/>
          <w:lang w:val="en-GB"/>
        </w:rPr>
        <w:t>International Journal of Qualitative Studies in Education, 18</w:t>
      </w:r>
      <w:r w:rsidRPr="00EC35AC">
        <w:rPr>
          <w:lang w:val="en-GB"/>
        </w:rPr>
        <w:t>(5), 605-623. doi:10.1080/09518390500224887</w:t>
      </w:r>
    </w:p>
    <w:p w14:paraId="0FFD34F2" w14:textId="77777777" w:rsidR="00EC35AC" w:rsidRPr="00EC35AC" w:rsidRDefault="00EC35AC" w:rsidP="00EC35AC">
      <w:pPr>
        <w:pStyle w:val="12"/>
        <w:rPr>
          <w:lang w:val="en-GB"/>
        </w:rPr>
      </w:pPr>
      <w:r w:rsidRPr="00EC35AC">
        <w:rPr>
          <w:lang w:val="en-GB"/>
        </w:rPr>
        <w:t xml:space="preserve">Illeris, K. (2018). </w:t>
      </w:r>
      <w:r w:rsidRPr="00EC35AC">
        <w:rPr>
          <w:i/>
          <w:lang w:val="en-GB"/>
        </w:rPr>
        <w:t>Contemporary theories of learning : learning theorists-- in their own words</w:t>
      </w:r>
      <w:r w:rsidRPr="00EC35AC">
        <w:rPr>
          <w:lang w:val="en-GB"/>
        </w:rPr>
        <w:t xml:space="preserve"> (Second edition. ed.). Milton Park, Abingdon, Oxon ; New York, NY: Routledge.</w:t>
      </w:r>
    </w:p>
    <w:p w14:paraId="7FE4DB63" w14:textId="77777777" w:rsidR="00EC35AC" w:rsidRPr="00EC35AC" w:rsidRDefault="00EC35AC" w:rsidP="00EC35AC">
      <w:pPr>
        <w:pStyle w:val="12"/>
        <w:rPr>
          <w:lang w:val="en-GB"/>
        </w:rPr>
      </w:pPr>
      <w:r w:rsidRPr="00EC35AC">
        <w:rPr>
          <w:lang w:val="en-GB"/>
        </w:rPr>
        <w:t xml:space="preserve">Johnson, L. K. (2007). </w:t>
      </w:r>
      <w:r w:rsidRPr="00EC35AC">
        <w:rPr>
          <w:i/>
          <w:lang w:val="en-GB"/>
        </w:rPr>
        <w:t>Handbook of intelligence studies</w:t>
      </w:r>
      <w:r w:rsidRPr="00EC35AC">
        <w:rPr>
          <w:lang w:val="en-GB"/>
        </w:rPr>
        <w:t>. London ; New York: Routledge.</w:t>
      </w:r>
    </w:p>
    <w:p w14:paraId="09C15D01" w14:textId="77777777" w:rsidR="00EC35AC" w:rsidRPr="00EC35AC" w:rsidRDefault="00EC35AC" w:rsidP="00EC35AC">
      <w:pPr>
        <w:pStyle w:val="12"/>
        <w:rPr>
          <w:lang w:val="en-GB"/>
        </w:rPr>
      </w:pPr>
      <w:r w:rsidRPr="00EC35AC">
        <w:rPr>
          <w:lang w:val="en-GB"/>
        </w:rPr>
        <w:t xml:space="preserve">Kessler, R. C., Foster, C. L., Saunders, W. B., &amp; Stang, P. E. (1995). Social consequences of psychiatric disorders I: Educational attainment. </w:t>
      </w:r>
      <w:r w:rsidRPr="00EC35AC">
        <w:rPr>
          <w:i/>
          <w:lang w:val="en-GB"/>
        </w:rPr>
        <w:t>The American Journal of Psychiatry, 152</w:t>
      </w:r>
      <w:r w:rsidRPr="00EC35AC">
        <w:rPr>
          <w:lang w:val="en-GB"/>
        </w:rPr>
        <w:t>(7), 1026-1032. doi:10.1176/ajp.152.7.1026</w:t>
      </w:r>
    </w:p>
    <w:p w14:paraId="5A19A28A" w14:textId="77777777" w:rsidR="00EC35AC" w:rsidRPr="00EC35AC" w:rsidRDefault="00EC35AC" w:rsidP="00EC35AC">
      <w:pPr>
        <w:pStyle w:val="12"/>
        <w:rPr>
          <w:lang w:val="en-GB"/>
        </w:rPr>
      </w:pPr>
      <w:r w:rsidRPr="00EC35AC">
        <w:rPr>
          <w:lang w:val="en-GB"/>
        </w:rPr>
        <w:t xml:space="preserve">Majzub, R. M., &amp; Rais, M. M. (2010). Boys’ underachievement: Causes and strategies. </w:t>
      </w:r>
      <w:r w:rsidRPr="00EC35AC">
        <w:rPr>
          <w:i/>
          <w:lang w:val="en-GB"/>
        </w:rPr>
        <w:t>Procedia - Social and Behavioral Sciences, 2</w:t>
      </w:r>
      <w:r w:rsidRPr="00EC35AC">
        <w:rPr>
          <w:lang w:val="en-GB"/>
        </w:rPr>
        <w:t>(2), 3160-3164. doi:</w:t>
      </w:r>
      <w:hyperlink r:id="rId14" w:history="1">
        <w:r w:rsidRPr="00486875">
          <w:rPr>
            <w:rStyle w:val="-"/>
            <w:color w:val="0D78CA" w:themeColor="background2" w:themeShade="80"/>
            <w:lang w:val="en-GB"/>
          </w:rPr>
          <w:t>https://doi.org/10.1016/j.sbspro.2010.03.482</w:t>
        </w:r>
      </w:hyperlink>
    </w:p>
    <w:p w14:paraId="247D644C" w14:textId="77777777" w:rsidR="00EC35AC" w:rsidRPr="00EC35AC" w:rsidRDefault="00EC35AC" w:rsidP="00EC35AC">
      <w:pPr>
        <w:pStyle w:val="12"/>
        <w:rPr>
          <w:lang w:val="en-GB"/>
        </w:rPr>
      </w:pPr>
      <w:r w:rsidRPr="00EC35AC">
        <w:rPr>
          <w:lang w:val="en-GB"/>
        </w:rPr>
        <w:t xml:space="preserve">Mirowsky, J., &amp; Ross, C. E. (2003). </w:t>
      </w:r>
      <w:r w:rsidRPr="00EC35AC">
        <w:rPr>
          <w:i/>
          <w:lang w:val="en-GB"/>
        </w:rPr>
        <w:t>Education, social status, and health</w:t>
      </w:r>
      <w:r w:rsidRPr="00EC35AC">
        <w:rPr>
          <w:lang w:val="en-GB"/>
        </w:rPr>
        <w:t>. New York: A. de Gruyter.</w:t>
      </w:r>
    </w:p>
    <w:p w14:paraId="797D7B1E" w14:textId="77777777" w:rsidR="00EC35AC" w:rsidRPr="00EC35AC" w:rsidRDefault="00EC35AC" w:rsidP="00EC35AC">
      <w:pPr>
        <w:pStyle w:val="12"/>
        <w:rPr>
          <w:lang w:val="en-GB"/>
        </w:rPr>
      </w:pPr>
      <w:r w:rsidRPr="00EC35AC">
        <w:rPr>
          <w:lang w:val="en-GB"/>
        </w:rPr>
        <w:t xml:space="preserve">Montgomery, D. (2009). Why Do the Gifted and Talented Underachieve? How Can Masked and Hidden Talents Be Revealed? In D. Montgomery (Ed.), </w:t>
      </w:r>
      <w:r w:rsidRPr="00EC35AC">
        <w:rPr>
          <w:i/>
          <w:lang w:val="en-GB"/>
        </w:rPr>
        <w:t>Able, gifted and talented underachievers</w:t>
      </w:r>
      <w:r w:rsidRPr="00EC35AC">
        <w:rPr>
          <w:lang w:val="en-GB"/>
        </w:rPr>
        <w:t>. West Sussex: John Wiley &amp; Sons.</w:t>
      </w:r>
    </w:p>
    <w:p w14:paraId="5DE920FD" w14:textId="77777777" w:rsidR="00EC35AC" w:rsidRPr="00EC35AC" w:rsidRDefault="00EC35AC" w:rsidP="00EC35AC">
      <w:pPr>
        <w:pStyle w:val="12"/>
        <w:rPr>
          <w:lang w:val="en-GB"/>
        </w:rPr>
      </w:pPr>
      <w:r w:rsidRPr="00EC35AC">
        <w:rPr>
          <w:lang w:val="en-GB"/>
        </w:rPr>
        <w:t xml:space="preserve">Neisser, U., Boodoo, G., Bouchard Jr, T., Wade Boykin, A., Brody, N., J. Ceci, S., . . . Urbina, S. (1996). </w:t>
      </w:r>
      <w:r w:rsidRPr="00EC35AC">
        <w:rPr>
          <w:i/>
          <w:lang w:val="en-GB"/>
        </w:rPr>
        <w:t>Intelligence: Knowns and Unknowns</w:t>
      </w:r>
      <w:r w:rsidRPr="00EC35AC">
        <w:rPr>
          <w:lang w:val="en-GB"/>
        </w:rPr>
        <w:t xml:space="preserve"> (Vol. 51).</w:t>
      </w:r>
    </w:p>
    <w:p w14:paraId="53A363C0" w14:textId="77777777" w:rsidR="00EC35AC" w:rsidRPr="00EC35AC" w:rsidRDefault="00EC35AC" w:rsidP="00EC35AC">
      <w:pPr>
        <w:pStyle w:val="12"/>
        <w:rPr>
          <w:lang w:val="en-GB"/>
        </w:rPr>
      </w:pPr>
      <w:r w:rsidRPr="00EC35AC">
        <w:rPr>
          <w:lang w:val="en-GB"/>
        </w:rPr>
        <w:t xml:space="preserve">OECD. (2017). </w:t>
      </w:r>
      <w:r w:rsidRPr="00EC35AC">
        <w:rPr>
          <w:i/>
          <w:lang w:val="en-GB"/>
        </w:rPr>
        <w:t>Education Policy in Greece. A Preliminary Assessment</w:t>
      </w:r>
      <w:r w:rsidRPr="00EC35AC">
        <w:rPr>
          <w:lang w:val="en-GB"/>
        </w:rPr>
        <w:t>. Athens-Quebec: OECD Editions.</w:t>
      </w:r>
    </w:p>
    <w:p w14:paraId="3E368E6C" w14:textId="77777777" w:rsidR="00EC35AC" w:rsidRPr="00EC35AC" w:rsidRDefault="00EC35AC" w:rsidP="00EC35AC">
      <w:pPr>
        <w:pStyle w:val="12"/>
        <w:rPr>
          <w:lang w:val="en-GB"/>
        </w:rPr>
      </w:pPr>
      <w:r w:rsidRPr="00EC35AC">
        <w:rPr>
          <w:lang w:val="en-GB"/>
        </w:rPr>
        <w:t xml:space="preserve">Preckel, F., &amp; Brunner, M. (2015). Academic self-concept, achievement goals, and achievement: Is their relation the same for academic achievers and underachievers? </w:t>
      </w:r>
      <w:r w:rsidRPr="00EC35AC">
        <w:rPr>
          <w:i/>
          <w:lang w:val="en-GB"/>
        </w:rPr>
        <w:t>Gifted and Talented International, 30</w:t>
      </w:r>
      <w:r w:rsidRPr="00EC35AC">
        <w:rPr>
          <w:lang w:val="en-GB"/>
        </w:rPr>
        <w:t>(1-2), 68-84. doi:10.1080/15332276.2015.1137458</w:t>
      </w:r>
    </w:p>
    <w:p w14:paraId="4E029EA0" w14:textId="77777777" w:rsidR="00EC35AC" w:rsidRPr="00EC35AC" w:rsidRDefault="00EC35AC" w:rsidP="00EC35AC">
      <w:pPr>
        <w:pStyle w:val="12"/>
        <w:rPr>
          <w:lang w:val="en-GB"/>
        </w:rPr>
      </w:pPr>
      <w:r w:rsidRPr="00EC35AC">
        <w:rPr>
          <w:lang w:val="en-GB"/>
        </w:rPr>
        <w:t xml:space="preserve">Raven, J. (2003). Raven Progressive Matrices. In R. S. McCallum (Ed.), </w:t>
      </w:r>
      <w:r w:rsidRPr="00EC35AC">
        <w:rPr>
          <w:i/>
          <w:lang w:val="en-GB"/>
        </w:rPr>
        <w:t>Handbook of Nonverbal Assessment</w:t>
      </w:r>
      <w:r w:rsidRPr="00EC35AC">
        <w:rPr>
          <w:lang w:val="en-GB"/>
        </w:rPr>
        <w:t xml:space="preserve"> (pp. 223-237). Boston, MA: Springer US.</w:t>
      </w:r>
    </w:p>
    <w:p w14:paraId="558C2E59" w14:textId="77777777" w:rsidR="00EC35AC" w:rsidRPr="00EC35AC" w:rsidRDefault="00EC35AC" w:rsidP="00EC35AC">
      <w:pPr>
        <w:pStyle w:val="12"/>
        <w:rPr>
          <w:lang w:val="en-GB"/>
        </w:rPr>
      </w:pPr>
      <w:r w:rsidRPr="00EC35AC">
        <w:rPr>
          <w:lang w:val="en-GB"/>
        </w:rPr>
        <w:t xml:space="preserve">Reis, S., &amp; McCoach, D. B. (2000). The Underachievement of Gifted Students: What Do We Know and Where Do We Go? </w:t>
      </w:r>
      <w:r w:rsidRPr="00EC35AC">
        <w:rPr>
          <w:i/>
          <w:lang w:val="en-GB"/>
        </w:rPr>
        <w:t>Gifted Child Quarterly, 44</w:t>
      </w:r>
      <w:r w:rsidRPr="00EC35AC">
        <w:rPr>
          <w:lang w:val="en-GB"/>
        </w:rPr>
        <w:t>(3), 152-170. doi:10.1177/001698620004400302</w:t>
      </w:r>
    </w:p>
    <w:p w14:paraId="7DDAFE72" w14:textId="77777777" w:rsidR="00EC35AC" w:rsidRPr="00EC35AC" w:rsidRDefault="00EC35AC" w:rsidP="00EC35AC">
      <w:pPr>
        <w:pStyle w:val="12"/>
        <w:rPr>
          <w:lang w:val="en-GB"/>
        </w:rPr>
      </w:pPr>
      <w:r w:rsidRPr="00EC35AC">
        <w:rPr>
          <w:lang w:val="en-GB"/>
        </w:rPr>
        <w:lastRenderedPageBreak/>
        <w:t xml:space="preserve">Rohde, T. E., &amp; Thompson, L. A. (2007). Predicting academic achievement with cognitive ability. </w:t>
      </w:r>
      <w:r w:rsidRPr="00EC35AC">
        <w:rPr>
          <w:i/>
          <w:lang w:val="en-GB"/>
        </w:rPr>
        <w:t>Intelligence, 35</w:t>
      </w:r>
      <w:r w:rsidRPr="00EC35AC">
        <w:rPr>
          <w:lang w:val="en-GB"/>
        </w:rPr>
        <w:t>(1), 83-92. doi:</w:t>
      </w:r>
      <w:hyperlink r:id="rId15" w:history="1">
        <w:r w:rsidRPr="00486875">
          <w:rPr>
            <w:rStyle w:val="-"/>
            <w:color w:val="0D78CA" w:themeColor="background2" w:themeShade="80"/>
            <w:lang w:val="en-GB"/>
          </w:rPr>
          <w:t>https://doi.org/10.1016/j.intell.2006.05.004</w:t>
        </w:r>
      </w:hyperlink>
    </w:p>
    <w:p w14:paraId="55604DC1" w14:textId="77777777" w:rsidR="00EC35AC" w:rsidRPr="00EC35AC" w:rsidRDefault="00EC35AC" w:rsidP="00EC35AC">
      <w:pPr>
        <w:pStyle w:val="12"/>
        <w:rPr>
          <w:lang w:val="en-GB"/>
        </w:rPr>
      </w:pPr>
      <w:r w:rsidRPr="00EC35AC">
        <w:rPr>
          <w:lang w:val="en-GB"/>
        </w:rPr>
        <w:t xml:space="preserve">Soares, D. L., Lemos, G. C., Primi, R., &amp; Almeida, L. S. (2015). The relationship between intelligence and academic achievement throughout middle school: The role of students' prior academic performance. </w:t>
      </w:r>
      <w:r w:rsidRPr="00EC35AC">
        <w:rPr>
          <w:i/>
          <w:lang w:val="en-GB"/>
        </w:rPr>
        <w:t>Learning and Individual Differences, 41</w:t>
      </w:r>
      <w:r w:rsidRPr="00EC35AC">
        <w:rPr>
          <w:lang w:val="en-GB"/>
        </w:rPr>
        <w:t>, 73-78. doi:</w:t>
      </w:r>
      <w:hyperlink r:id="rId16" w:history="1">
        <w:r w:rsidRPr="00486875">
          <w:rPr>
            <w:rStyle w:val="-"/>
            <w:color w:val="0D78CA" w:themeColor="background2" w:themeShade="80"/>
            <w:lang w:val="en-GB"/>
          </w:rPr>
          <w:t>https://doi.org/10.1016/j.lindif.2015.02.005</w:t>
        </w:r>
      </w:hyperlink>
    </w:p>
    <w:p w14:paraId="6A93C625" w14:textId="77777777" w:rsidR="00EC35AC" w:rsidRPr="00EC35AC" w:rsidRDefault="00EC35AC" w:rsidP="00EC35AC">
      <w:pPr>
        <w:pStyle w:val="12"/>
        <w:rPr>
          <w:lang w:val="en-GB"/>
        </w:rPr>
      </w:pPr>
      <w:r w:rsidRPr="00EC35AC">
        <w:rPr>
          <w:lang w:val="en-GB"/>
        </w:rPr>
        <w:t xml:space="preserve">Sternberg, R. J. (2000). The Theory of Successful Intelligence. </w:t>
      </w:r>
      <w:r w:rsidRPr="00EC35AC">
        <w:rPr>
          <w:i/>
          <w:lang w:val="en-GB"/>
        </w:rPr>
        <w:t>Gifted Education International, 15</w:t>
      </w:r>
      <w:r w:rsidRPr="00EC35AC">
        <w:rPr>
          <w:lang w:val="en-GB"/>
        </w:rPr>
        <w:t>(1), 4-21. doi:10.1177/026142940001500103</w:t>
      </w:r>
    </w:p>
    <w:p w14:paraId="42255BE6" w14:textId="77777777" w:rsidR="00EC35AC" w:rsidRPr="00EC35AC" w:rsidRDefault="00EC35AC" w:rsidP="00EC35AC">
      <w:pPr>
        <w:pStyle w:val="12"/>
        <w:rPr>
          <w:lang w:val="en-GB"/>
        </w:rPr>
      </w:pPr>
      <w:r w:rsidRPr="00EC35AC">
        <w:rPr>
          <w:lang w:val="en-GB"/>
        </w:rPr>
        <w:t xml:space="preserve">Sternberg, R. J., &amp; Grigorenko, E. (2003). </w:t>
      </w:r>
      <w:r w:rsidRPr="00EC35AC">
        <w:rPr>
          <w:i/>
          <w:lang w:val="en-GB"/>
        </w:rPr>
        <w:t>The psychology of abilities, competencies, and expertise</w:t>
      </w:r>
      <w:r w:rsidRPr="00EC35AC">
        <w:rPr>
          <w:lang w:val="en-GB"/>
        </w:rPr>
        <w:t>.</w:t>
      </w:r>
    </w:p>
    <w:p w14:paraId="2E4353F5" w14:textId="77777777" w:rsidR="00EC35AC" w:rsidRPr="00EC35AC" w:rsidRDefault="00EC35AC" w:rsidP="00EC35AC">
      <w:pPr>
        <w:pStyle w:val="12"/>
        <w:rPr>
          <w:lang w:val="en-GB"/>
        </w:rPr>
      </w:pPr>
      <w:r w:rsidRPr="00EC35AC">
        <w:rPr>
          <w:lang w:val="en-GB"/>
        </w:rPr>
        <w:t xml:space="preserve">Sternberg, R. J., &amp; Zhang, L.-f. (2001). </w:t>
      </w:r>
      <w:r w:rsidRPr="00EC35AC">
        <w:rPr>
          <w:i/>
          <w:lang w:val="en-GB"/>
        </w:rPr>
        <w:t>Perspectives on thinking, learning, and cognitive styles</w:t>
      </w:r>
      <w:r w:rsidRPr="00EC35AC">
        <w:rPr>
          <w:lang w:val="en-GB"/>
        </w:rPr>
        <w:t>. Mahwah, NJ, US: Lawrence Erlbaum Associates Publishers.</w:t>
      </w:r>
    </w:p>
    <w:p w14:paraId="67F8A9D4" w14:textId="77777777" w:rsidR="00EC35AC" w:rsidRPr="00EC35AC" w:rsidRDefault="00EC35AC" w:rsidP="00EC35AC">
      <w:pPr>
        <w:pStyle w:val="12"/>
        <w:rPr>
          <w:lang w:val="en-GB"/>
        </w:rPr>
      </w:pPr>
      <w:r w:rsidRPr="00EC35AC">
        <w:rPr>
          <w:lang w:val="en-GB"/>
        </w:rPr>
        <w:t xml:space="preserve">van Batenburg-Eddes, T., &amp; Jolles, J. (2013). How does emotional wellbeing relate to underachievement in a general population sample of young adolescents: a neurocognitive perspective. </w:t>
      </w:r>
      <w:r w:rsidRPr="00EC35AC">
        <w:rPr>
          <w:i/>
          <w:lang w:val="en-GB"/>
        </w:rPr>
        <w:t>Front Psychol, 4</w:t>
      </w:r>
      <w:r w:rsidRPr="00EC35AC">
        <w:rPr>
          <w:lang w:val="en-GB"/>
        </w:rPr>
        <w:t>, 673. doi:10.3389/fpsyg.2013.00673</w:t>
      </w:r>
    </w:p>
    <w:p w14:paraId="49982353" w14:textId="77777777" w:rsidR="00EC35AC" w:rsidRPr="00EC35AC" w:rsidRDefault="00EC35AC" w:rsidP="00EC35AC">
      <w:pPr>
        <w:pStyle w:val="12"/>
        <w:rPr>
          <w:lang w:val="en-GB"/>
        </w:rPr>
      </w:pPr>
      <w:r w:rsidRPr="00EC35AC">
        <w:rPr>
          <w:lang w:val="en-GB"/>
        </w:rPr>
        <w:t xml:space="preserve">Weis, M., Heikamp, T., &amp; Trommsdorff, G. (2013). Gender differences in school achievement: The role of self-regulation. </w:t>
      </w:r>
      <w:r w:rsidRPr="00EC35AC">
        <w:rPr>
          <w:i/>
          <w:lang w:val="en-GB"/>
        </w:rPr>
        <w:t>Front Psychol, 4</w:t>
      </w:r>
      <w:r w:rsidRPr="00EC35AC">
        <w:rPr>
          <w:lang w:val="en-GB"/>
        </w:rPr>
        <w:t>, 442. doi:10.3389/fpsyg.2013.00442</w:t>
      </w:r>
    </w:p>
    <w:p w14:paraId="6C9003E9" w14:textId="77777777" w:rsidR="00EC35AC" w:rsidRPr="00EC35AC" w:rsidRDefault="00EC35AC" w:rsidP="00EC35AC">
      <w:pPr>
        <w:pStyle w:val="12"/>
        <w:rPr>
          <w:lang w:val="en-GB"/>
        </w:rPr>
      </w:pPr>
      <w:r w:rsidRPr="00EC35AC">
        <w:rPr>
          <w:lang w:val="en-GB"/>
        </w:rPr>
        <w:t xml:space="preserve">Zbainos, D., &amp; Hallam, S. (2002). Greek Primary School teachers' descriptions of their criteria and practices they adopt in assessing pupils' academic attainment. </w:t>
      </w:r>
      <w:r w:rsidRPr="00EC35AC">
        <w:rPr>
          <w:i/>
          <w:lang w:val="en-GB"/>
        </w:rPr>
        <w:t>The Psychology of Education Review, 26</w:t>
      </w:r>
      <w:r w:rsidRPr="00EC35AC">
        <w:rPr>
          <w:lang w:val="en-GB"/>
        </w:rPr>
        <w:t xml:space="preserve">(2), 26-36. </w:t>
      </w:r>
    </w:p>
    <w:p w14:paraId="6BF2FCE6" w14:textId="77777777" w:rsidR="00EC35AC" w:rsidRPr="00E9752A" w:rsidRDefault="00EC35AC" w:rsidP="00EC35AC">
      <w:pPr>
        <w:pStyle w:val="12"/>
      </w:pPr>
      <w:r w:rsidRPr="00EC35AC">
        <w:rPr>
          <w:lang w:val="en-GB"/>
        </w:rPr>
        <w:t xml:space="preserve">Zenderland, L. (1998). </w:t>
      </w:r>
      <w:r w:rsidRPr="00EC35AC">
        <w:rPr>
          <w:i/>
          <w:lang w:val="en-GB"/>
        </w:rPr>
        <w:t>Measuring minds: Henry Herbert Goddard and the origins of American intelligence testing</w:t>
      </w:r>
      <w:r w:rsidRPr="00EC35AC">
        <w:rPr>
          <w:lang w:val="en-GB"/>
        </w:rPr>
        <w:t xml:space="preserve">. </w:t>
      </w:r>
      <w:r w:rsidRPr="00E9752A">
        <w:t>New York, NY, US: Cambridge University Press.</w:t>
      </w:r>
    </w:p>
    <w:p w14:paraId="63DCFC1D" w14:textId="77777777" w:rsidR="00EC35AC" w:rsidRPr="00E9752A" w:rsidRDefault="00EC35AC" w:rsidP="00EC35AC">
      <w:pPr>
        <w:pStyle w:val="12"/>
      </w:pPr>
      <w:r w:rsidRPr="00E9752A">
        <w:t xml:space="preserve">Ζμπάινος, Δ. (2002). </w:t>
      </w:r>
      <w:r w:rsidRPr="00E9752A">
        <w:rPr>
          <w:i/>
        </w:rPr>
        <w:t>Βαθµολόγηση στο ∆ηµοτικό Σχολείο: Τι µας δείχνουν οι βαθµοί; Η περίπτωση της ∆υτικής Αθήνας.</w:t>
      </w:r>
      <w:r w:rsidRPr="00E9752A">
        <w:t xml:space="preserve"> Paper presented at the Πρακτικά του 3ου Πανελληνίου Συνεδρίου Ελληνικής Παιδαγωγικής και Εκπαιδευτικής Έρευνας, Αθήνα.</w:t>
      </w:r>
    </w:p>
    <w:p w14:paraId="2FC0C86A" w14:textId="77777777" w:rsidR="00EC35AC" w:rsidRPr="00E9752A" w:rsidRDefault="00EC35AC" w:rsidP="00EC35AC">
      <w:pPr>
        <w:pStyle w:val="12"/>
      </w:pPr>
      <w:r w:rsidRPr="00E9752A">
        <w:t xml:space="preserve">Θωμά, Δ. (2010). Σχολική γνώση και αλλοδαποί μαθητές/τριες: Τα προβλήματα και η δυναμική μιας πολυδιάστατης σχέσης. </w:t>
      </w:r>
      <w:r w:rsidRPr="00E9752A">
        <w:rPr>
          <w:i/>
        </w:rPr>
        <w:t>Το Βήμα των Κοινωνικών Επιστημών, 15</w:t>
      </w:r>
      <w:r w:rsidRPr="00E9752A">
        <w:t xml:space="preserve">(57), 197-217. </w:t>
      </w:r>
    </w:p>
    <w:p w14:paraId="11D56938" w14:textId="77777777" w:rsidR="00EC35AC" w:rsidRPr="00E9752A" w:rsidRDefault="00EC35AC" w:rsidP="00EC35AC">
      <w:pPr>
        <w:pStyle w:val="12"/>
      </w:pPr>
      <w:r w:rsidRPr="00E9752A">
        <w:t xml:space="preserve">Τζουριάδου, Μ. (2011). </w:t>
      </w:r>
      <w:r w:rsidRPr="00E9752A">
        <w:rPr>
          <w:i/>
        </w:rPr>
        <w:t>Μαθησιακές δυσκολίες – θέματα ερμηνείας και αντιμετώπισης</w:t>
      </w:r>
      <w:r w:rsidRPr="00E9752A">
        <w:t>. Θεσσαλονίκη: Προμηθεύς.</w:t>
      </w:r>
    </w:p>
    <w:p w14:paraId="43325399" w14:textId="77777777" w:rsidR="003D2D32" w:rsidRPr="00D53AE1" w:rsidRDefault="00EC35AC" w:rsidP="00D53AE1">
      <w:pPr>
        <w:pStyle w:val="12"/>
        <w:rPr>
          <w:sz w:val="28"/>
        </w:rPr>
        <w:sectPr w:rsidR="003D2D32" w:rsidRPr="00D53AE1" w:rsidSect="007136D3">
          <w:headerReference w:type="default" r:id="rId17"/>
          <w:type w:val="continuous"/>
          <w:pgSz w:w="11906" w:h="16838" w:code="9"/>
          <w:pgMar w:top="1701" w:right="1701" w:bottom="1701" w:left="1701" w:header="709" w:footer="420" w:gutter="0"/>
          <w:pgNumType w:start="14"/>
          <w:cols w:space="708"/>
          <w:docGrid w:linePitch="360"/>
        </w:sectPr>
      </w:pPr>
      <w:r w:rsidRPr="00E9752A"/>
      <w:bookmarkStart w:id="5" w:name="_Toc34673521"/>
      <w:bookmarkStart w:id="6" w:name="_Toc34674143"/>
      <w:bookmarkStart w:id="7" w:name="_Toc34831006"/>
    </w:p>
    <w:p w14:paraId="7CBDEEA4" w14:textId="77777777" w:rsidR="0028646A" w:rsidRDefault="0028646A" w:rsidP="00C443A2">
      <w:pPr>
        <w:pStyle w:val="10"/>
        <w:sectPr w:rsidR="0028646A" w:rsidSect="0028646A">
          <w:headerReference w:type="default" r:id="rId18"/>
          <w:type w:val="continuous"/>
          <w:pgSz w:w="11906" w:h="16838" w:code="9"/>
          <w:pgMar w:top="1701" w:right="1701" w:bottom="1701" w:left="1701" w:header="709" w:footer="420" w:gutter="0"/>
          <w:pgNumType w:start="26"/>
          <w:cols w:space="708"/>
          <w:docGrid w:linePitch="360"/>
        </w:sectPr>
      </w:pPr>
    </w:p>
    <w:bookmarkEnd w:id="5"/>
    <w:bookmarkEnd w:id="6"/>
    <w:bookmarkEnd w:id="7"/>
    <w:p w14:paraId="1D791685" w14:textId="77777777" w:rsidR="0003722C" w:rsidRPr="006B4B30" w:rsidRDefault="0003722C" w:rsidP="00D53AE1">
      <w:pPr>
        <w:pStyle w:val="10"/>
      </w:pPr>
    </w:p>
    <w:sectPr w:rsidR="0003722C" w:rsidRPr="006B4B30" w:rsidSect="00D53AE1">
      <w:headerReference w:type="default" r:id="rId19"/>
      <w:type w:val="continuous"/>
      <w:pgSz w:w="11906" w:h="16838" w:code="9"/>
      <w:pgMar w:top="1701" w:right="1701" w:bottom="1701" w:left="1701" w:header="709" w:footer="420" w:gutter="0"/>
      <w:pgNumType w:start="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D91EA4" w14:textId="77777777" w:rsidR="002826FA" w:rsidRDefault="002826FA" w:rsidP="00E7707C">
      <w:r>
        <w:separator/>
      </w:r>
    </w:p>
  </w:endnote>
  <w:endnote w:type="continuationSeparator" w:id="0">
    <w:p w14:paraId="54926737" w14:textId="77777777" w:rsidR="002826FA" w:rsidRDefault="002826FA" w:rsidP="00E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orbel"/>
    <w:charset w:val="A1"/>
    <w:family w:val="swiss"/>
    <w:pitch w:val="variable"/>
    <w:sig w:usb0="00000001"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C0958" w14:textId="77777777" w:rsidR="002826FA" w:rsidRDefault="002826FA" w:rsidP="00E7707C">
      <w:r>
        <w:separator/>
      </w:r>
    </w:p>
  </w:footnote>
  <w:footnote w:type="continuationSeparator" w:id="0">
    <w:p w14:paraId="7CC691A8" w14:textId="77777777" w:rsidR="002826FA" w:rsidRDefault="002826FA" w:rsidP="00E77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189F4" w14:textId="77777777" w:rsidR="00591434" w:rsidRPr="00276270" w:rsidRDefault="00591434" w:rsidP="00276270">
    <w:pPr>
      <w:pStyle w:val="a3"/>
      <w:tabs>
        <w:tab w:val="clear" w:pos="4536"/>
      </w:tabs>
      <w:rPr>
        <w:rFonts w:eastAsia="Yu Gothic UI"/>
        <w:sz w:val="20"/>
        <w:szCs w:val="20"/>
        <w:lang w:val="el-GR"/>
      </w:rPr>
    </w:pPr>
    <w:r w:rsidRPr="00276270">
      <w:rPr>
        <w:rFonts w:eastAsia="Yu Gothic UI"/>
        <w:sz w:val="20"/>
        <w:szCs w:val="20"/>
        <w:lang w:val="el-GR"/>
      </w:rPr>
      <w:t xml:space="preserve">ΕΚΠΑΙΔΕΥΤΙΚΗ ΑΞΙΟΛΟΓΗΣΗ, 5, </w:t>
    </w:r>
    <w:r>
      <w:rPr>
        <w:rFonts w:eastAsia="Yu Gothic UI"/>
        <w:sz w:val="20"/>
        <w:szCs w:val="20"/>
        <w:lang w:val="el-GR"/>
      </w:rPr>
      <w:t>13-25</w:t>
    </w:r>
  </w:p>
  <w:p w14:paraId="4A460D63" w14:textId="77777777" w:rsidR="00591434" w:rsidRPr="00276270" w:rsidRDefault="00591434" w:rsidP="00276270">
    <w:pPr>
      <w:pStyle w:val="a3"/>
      <w:tabs>
        <w:tab w:val="clear" w:pos="4536"/>
      </w:tabs>
      <w:rPr>
        <w:rFonts w:eastAsia="Yu Gothic UI"/>
        <w:sz w:val="20"/>
        <w:szCs w:val="20"/>
        <w:lang w:val="el-GR"/>
      </w:rPr>
    </w:pPr>
    <w:r w:rsidRPr="00276270">
      <w:rPr>
        <w:rFonts w:eastAsia="Yu Gothic UI"/>
        <w:sz w:val="20"/>
        <w:szCs w:val="20"/>
        <w:lang w:val="el-GR"/>
      </w:rPr>
      <w:t>© 2020 Ελληνική Εταιρεία Εκπαιδευτικής Αξιολόγησης</w:t>
    </w:r>
  </w:p>
  <w:p w14:paraId="7C7C6E32" w14:textId="77777777" w:rsidR="00591434" w:rsidRPr="00276270" w:rsidRDefault="00591434" w:rsidP="004E0493">
    <w:pPr>
      <w:pStyle w:val="a3"/>
      <w:jc w:val="right"/>
      <w:rPr>
        <w:lang w:val="el-G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240903"/>
      <w:docPartObj>
        <w:docPartGallery w:val="Page Numbers (Top of Page)"/>
        <w:docPartUnique/>
      </w:docPartObj>
    </w:sdtPr>
    <w:sdtEndPr/>
    <w:sdtContent>
      <w:p w14:paraId="2862B4E5" w14:textId="77777777" w:rsidR="00591434" w:rsidRPr="001F0F85" w:rsidRDefault="00591434" w:rsidP="001F0F85">
        <w:pPr>
          <w:pStyle w:val="a3"/>
          <w:rPr>
            <w:sz w:val="20"/>
            <w:szCs w:val="20"/>
          </w:rPr>
        </w:pPr>
        <w:r w:rsidRPr="001F0F85">
          <w:rPr>
            <w:sz w:val="20"/>
            <w:szCs w:val="20"/>
          </w:rPr>
          <w:fldChar w:fldCharType="begin"/>
        </w:r>
        <w:r w:rsidRPr="001F0F85">
          <w:rPr>
            <w:sz w:val="20"/>
            <w:szCs w:val="20"/>
          </w:rPr>
          <w:instrText>PAGE   \* MERGEFORMAT</w:instrText>
        </w:r>
        <w:r w:rsidRPr="001F0F85">
          <w:rPr>
            <w:sz w:val="20"/>
            <w:szCs w:val="20"/>
          </w:rPr>
          <w:fldChar w:fldCharType="separate"/>
        </w:r>
        <w:r w:rsidR="001F4DE5" w:rsidRPr="001F4DE5">
          <w:rPr>
            <w:noProof/>
            <w:sz w:val="20"/>
            <w:szCs w:val="20"/>
            <w:lang w:val="el-GR"/>
          </w:rPr>
          <w:t>14</w:t>
        </w:r>
        <w:r w:rsidRPr="001F0F85">
          <w:rPr>
            <w:sz w:val="20"/>
            <w:szCs w:val="20"/>
          </w:rPr>
          <w:fldChar w:fldCharType="end"/>
        </w:r>
        <w:r w:rsidRPr="001F0F85">
          <w:rPr>
            <w:sz w:val="20"/>
            <w:szCs w:val="20"/>
          </w:rPr>
          <w:t xml:space="preserve">    </w:t>
        </w:r>
        <w:r w:rsidRPr="001F0F85">
          <w:rPr>
            <w:rFonts w:eastAsia="Yu Gothic UI"/>
            <w:sz w:val="20"/>
            <w:szCs w:val="20"/>
            <w:lang w:val="el-GR"/>
          </w:rPr>
          <w:t>ΓΚΟΓΚΟΣ, ΜΠΕΛΟΓΙΑΝΝΗ &amp; ΖΜΠΑΙΝΟΣ</w:t>
        </w:r>
      </w:p>
      <w:p w14:paraId="6DC285F6" w14:textId="77777777" w:rsidR="00591434" w:rsidRDefault="002826FA">
        <w:pPr>
          <w:pStyle w:val="a3"/>
        </w:pPr>
      </w:p>
    </w:sdtContent>
  </w:sdt>
  <w:p w14:paraId="5A9A273A" w14:textId="77777777" w:rsidR="00591434" w:rsidRPr="00276270" w:rsidRDefault="00591434" w:rsidP="00276270">
    <w:pPr>
      <w:pStyle w:val="a3"/>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13E18" w14:textId="77777777" w:rsidR="00591434" w:rsidRPr="0087199E" w:rsidRDefault="00591434" w:rsidP="00276270">
    <w:pPr>
      <w:pStyle w:val="a3"/>
      <w:tabs>
        <w:tab w:val="clear" w:pos="4536"/>
      </w:tabs>
      <w:rPr>
        <w:rFonts w:eastAsia="Yu Gothic UI"/>
        <w:sz w:val="18"/>
        <w:szCs w:val="18"/>
        <w:lang w:val="el-GR"/>
      </w:rPr>
    </w:pPr>
    <w:r>
      <w:rPr>
        <w:rFonts w:eastAsia="Yu Gothic UI"/>
        <w:sz w:val="18"/>
        <w:szCs w:val="18"/>
        <w:lang w:val="el-GR"/>
      </w:rPr>
      <w:t>ΓΚΟΓΚΟΣ, ΜΠΕΛΟΓΙΑΝΝΗ &amp; ΖΜΠΑΙΝΟΣ</w:t>
    </w:r>
  </w:p>
  <w:p w14:paraId="74F7EA78" w14:textId="77777777" w:rsidR="00591434" w:rsidRPr="00276270" w:rsidRDefault="00591434" w:rsidP="004E0493">
    <w:pPr>
      <w:pStyle w:val="a3"/>
      <w:jc w:val="right"/>
      <w:rPr>
        <w:lang w:val="el-G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1026948"/>
      <w:docPartObj>
        <w:docPartGallery w:val="Page Numbers (Top of Page)"/>
        <w:docPartUnique/>
      </w:docPartObj>
    </w:sdtPr>
    <w:sdtEndPr/>
    <w:sdtContent>
      <w:p w14:paraId="010384DC" w14:textId="77777777" w:rsidR="00591434" w:rsidRPr="001F0F85" w:rsidRDefault="00591434" w:rsidP="001F0F85">
        <w:pPr>
          <w:pStyle w:val="a3"/>
          <w:rPr>
            <w:sz w:val="20"/>
            <w:szCs w:val="20"/>
          </w:rPr>
        </w:pPr>
        <w:r w:rsidRPr="001F0F85">
          <w:rPr>
            <w:sz w:val="20"/>
            <w:szCs w:val="20"/>
          </w:rPr>
          <w:fldChar w:fldCharType="begin"/>
        </w:r>
        <w:r w:rsidRPr="001F0F85">
          <w:rPr>
            <w:sz w:val="20"/>
            <w:szCs w:val="20"/>
          </w:rPr>
          <w:instrText>PAGE   \* MERGEFORMAT</w:instrText>
        </w:r>
        <w:r w:rsidRPr="001F0F85">
          <w:rPr>
            <w:sz w:val="20"/>
            <w:szCs w:val="20"/>
          </w:rPr>
          <w:fldChar w:fldCharType="separate"/>
        </w:r>
        <w:r w:rsidR="001F4DE5" w:rsidRPr="001F4DE5">
          <w:rPr>
            <w:noProof/>
            <w:sz w:val="20"/>
            <w:szCs w:val="20"/>
            <w:lang w:val="el-GR"/>
          </w:rPr>
          <w:t>25</w:t>
        </w:r>
        <w:r w:rsidRPr="001F0F85">
          <w:rPr>
            <w:sz w:val="20"/>
            <w:szCs w:val="20"/>
          </w:rPr>
          <w:fldChar w:fldCharType="end"/>
        </w:r>
        <w:r w:rsidRPr="001F0F85">
          <w:rPr>
            <w:sz w:val="20"/>
            <w:szCs w:val="20"/>
          </w:rPr>
          <w:t xml:space="preserve">    </w:t>
        </w:r>
        <w:r w:rsidRPr="001F0F85">
          <w:rPr>
            <w:rFonts w:eastAsia="Yu Gothic UI"/>
            <w:sz w:val="20"/>
            <w:szCs w:val="20"/>
            <w:lang w:val="el-GR"/>
          </w:rPr>
          <w:t>ΓΚΟΓΚΟΣ, ΜΠΕΛΟΓΙΑΝΝΗ &amp; ΖΜΠΑΙΝΟΣ</w:t>
        </w:r>
      </w:p>
      <w:p w14:paraId="7F0CA803" w14:textId="77777777" w:rsidR="00591434" w:rsidRDefault="002826FA">
        <w:pPr>
          <w:pStyle w:val="a3"/>
        </w:pPr>
      </w:p>
    </w:sdtContent>
  </w:sdt>
  <w:p w14:paraId="23966EDB" w14:textId="77777777" w:rsidR="00591434" w:rsidRPr="00276270" w:rsidRDefault="00591434" w:rsidP="00276270">
    <w:pPr>
      <w:pStyle w:val="a3"/>
      <w:rPr>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B9BDD"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xml:space="preserve">ΕΚΠΑΙΔΕΥΤΙΚΗ ΑΞΙΟΛΟΓΗΣΗ, 5, </w:t>
    </w:r>
    <w:r>
      <w:rPr>
        <w:rFonts w:eastAsia="Yu Gothic UI"/>
        <w:sz w:val="20"/>
        <w:szCs w:val="20"/>
        <w:lang w:val="el-GR"/>
      </w:rPr>
      <w:t>26-35</w:t>
    </w:r>
  </w:p>
  <w:p w14:paraId="5C675775"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2020 Ελληνική Εταιρεία Εκπαιδευτικής Αξιολόγησης</w:t>
    </w:r>
  </w:p>
  <w:p w14:paraId="03930C1C" w14:textId="77777777" w:rsidR="00591434" w:rsidRPr="003D2D32" w:rsidRDefault="00591434" w:rsidP="003D2D32">
    <w:pPr>
      <w:pStyle w:val="a3"/>
      <w:rPr>
        <w:lang w:val="el-G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992094"/>
      <w:docPartObj>
        <w:docPartGallery w:val="Page Numbers (Top of Page)"/>
        <w:docPartUnique/>
      </w:docPartObj>
    </w:sdtPr>
    <w:sdtEndPr/>
    <w:sdtContent>
      <w:p w14:paraId="421EEB6E" w14:textId="77777777" w:rsidR="00591434" w:rsidRPr="000D6EBC" w:rsidRDefault="00591434" w:rsidP="000D6EBC">
        <w:pPr>
          <w:pStyle w:val="a3"/>
          <w:tabs>
            <w:tab w:val="clear" w:pos="4536"/>
          </w:tabs>
          <w:rPr>
            <w:rFonts w:eastAsia="Yu Gothic UI"/>
            <w:sz w:val="20"/>
            <w:szCs w:val="20"/>
            <w:lang w:val="el-GR"/>
          </w:rPr>
        </w:pPr>
        <w:r w:rsidRPr="000D6EBC">
          <w:rPr>
            <w:sz w:val="20"/>
            <w:szCs w:val="20"/>
          </w:rPr>
          <w:fldChar w:fldCharType="begin"/>
        </w:r>
        <w:r w:rsidRPr="000D6EBC">
          <w:rPr>
            <w:sz w:val="20"/>
            <w:szCs w:val="20"/>
          </w:rPr>
          <w:instrText>PAGE   \* MERGEFORMAT</w:instrText>
        </w:r>
        <w:r w:rsidRPr="000D6EBC">
          <w:rPr>
            <w:sz w:val="20"/>
            <w:szCs w:val="20"/>
          </w:rPr>
          <w:fldChar w:fldCharType="separate"/>
        </w:r>
        <w:r w:rsidRPr="000D6EBC">
          <w:rPr>
            <w:sz w:val="20"/>
            <w:szCs w:val="20"/>
            <w:lang w:val="el-GR"/>
          </w:rPr>
          <w:t>2</w:t>
        </w:r>
        <w:r w:rsidRPr="000D6EBC">
          <w:rPr>
            <w:sz w:val="20"/>
            <w:szCs w:val="20"/>
          </w:rPr>
          <w:fldChar w:fldCharType="end"/>
        </w:r>
        <w:r w:rsidRPr="000D6EBC">
          <w:rPr>
            <w:sz w:val="20"/>
            <w:szCs w:val="20"/>
            <w:lang w:val="el-GR"/>
          </w:rPr>
          <w:t xml:space="preserve"> </w:t>
        </w:r>
        <w:r w:rsidRPr="000D6EBC">
          <w:rPr>
            <w:rFonts w:eastAsia="Yu Gothic UI"/>
            <w:sz w:val="20"/>
            <w:szCs w:val="20"/>
            <w:lang w:val="el-GR"/>
          </w:rPr>
          <w:t>ΧΑΡΑΚΟΠΟΥΛΟΣ &amp; ΤΣΙΛΙΜΕΝΗ</w:t>
        </w:r>
      </w:p>
      <w:p w14:paraId="373AA644" w14:textId="77777777" w:rsidR="00591434" w:rsidRDefault="002826FA">
        <w:pPr>
          <w:pStyle w:val="a3"/>
        </w:pPr>
      </w:p>
    </w:sdtContent>
  </w:sdt>
  <w:p w14:paraId="6009473B" w14:textId="77777777" w:rsidR="00591434" w:rsidRPr="0064561C" w:rsidRDefault="00591434" w:rsidP="0064561C">
    <w:pPr>
      <w:pStyle w:val="a3"/>
      <w:tabs>
        <w:tab w:val="clear" w:pos="4536"/>
      </w:tabs>
      <w:rPr>
        <w:rFonts w:eastAsia="Yu Gothic UI"/>
        <w:sz w:val="20"/>
        <w:szCs w:val="20"/>
        <w:lang w:val="el-G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B7748"/>
    <w:multiLevelType w:val="hybridMultilevel"/>
    <w:tmpl w:val="BBBC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F4C6E"/>
    <w:multiLevelType w:val="hybridMultilevel"/>
    <w:tmpl w:val="B48C0A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BF2C33"/>
    <w:multiLevelType w:val="hybridMultilevel"/>
    <w:tmpl w:val="D7D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3DA"/>
    <w:multiLevelType w:val="hybridMultilevel"/>
    <w:tmpl w:val="39F024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4693D32"/>
    <w:multiLevelType w:val="hybridMultilevel"/>
    <w:tmpl w:val="A98CF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31C2D"/>
    <w:multiLevelType w:val="hybridMultilevel"/>
    <w:tmpl w:val="4606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47B8C"/>
    <w:multiLevelType w:val="hybridMultilevel"/>
    <w:tmpl w:val="434C34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C2151A8"/>
    <w:multiLevelType w:val="hybridMultilevel"/>
    <w:tmpl w:val="A1B2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B19E8"/>
    <w:multiLevelType w:val="hybridMultilevel"/>
    <w:tmpl w:val="2012D01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2432FA6"/>
    <w:multiLevelType w:val="hybridMultilevel"/>
    <w:tmpl w:val="5044B0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4A75A03"/>
    <w:multiLevelType w:val="hybridMultilevel"/>
    <w:tmpl w:val="DECA8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60F38"/>
    <w:multiLevelType w:val="hybridMultilevel"/>
    <w:tmpl w:val="F22639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96417CD"/>
    <w:multiLevelType w:val="hybridMultilevel"/>
    <w:tmpl w:val="7A48A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963297"/>
    <w:multiLevelType w:val="hybridMultilevel"/>
    <w:tmpl w:val="044E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44E17"/>
    <w:multiLevelType w:val="hybridMultilevel"/>
    <w:tmpl w:val="1D14F5FE"/>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5" w15:restartNumberingAfterBreak="0">
    <w:nsid w:val="435F6443"/>
    <w:multiLevelType w:val="hybridMultilevel"/>
    <w:tmpl w:val="5C742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CA4866"/>
    <w:multiLevelType w:val="hybridMultilevel"/>
    <w:tmpl w:val="725A3FB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5086683B"/>
    <w:multiLevelType w:val="hybridMultilevel"/>
    <w:tmpl w:val="C038B4A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A952F2"/>
    <w:multiLevelType w:val="hybridMultilevel"/>
    <w:tmpl w:val="8F82DB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46029F2"/>
    <w:multiLevelType w:val="hybridMultilevel"/>
    <w:tmpl w:val="AD2E46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57BC7FB4"/>
    <w:multiLevelType w:val="hybridMultilevel"/>
    <w:tmpl w:val="A3741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5444EA"/>
    <w:multiLevelType w:val="hybridMultilevel"/>
    <w:tmpl w:val="8480B26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98873FA"/>
    <w:multiLevelType w:val="singleLevel"/>
    <w:tmpl w:val="598873FA"/>
    <w:lvl w:ilvl="0">
      <w:start w:val="3"/>
      <w:numFmt w:val="decimal"/>
      <w:suff w:val="space"/>
      <w:lvlText w:val="%1."/>
      <w:lvlJc w:val="left"/>
    </w:lvl>
  </w:abstractNum>
  <w:abstractNum w:abstractNumId="23" w15:restartNumberingAfterBreak="0">
    <w:nsid w:val="59897AFD"/>
    <w:multiLevelType w:val="singleLevel"/>
    <w:tmpl w:val="59897AFD"/>
    <w:lvl w:ilvl="0">
      <w:start w:val="2"/>
      <w:numFmt w:val="decimal"/>
      <w:suff w:val="space"/>
      <w:lvlText w:val="%1."/>
      <w:lvlJc w:val="left"/>
    </w:lvl>
  </w:abstractNum>
  <w:abstractNum w:abstractNumId="24" w15:restartNumberingAfterBreak="0">
    <w:nsid w:val="59983B15"/>
    <w:multiLevelType w:val="multilevel"/>
    <w:tmpl w:val="59983B15"/>
    <w:lvl w:ilvl="0">
      <w:start w:val="2"/>
      <w:numFmt w:val="decimal"/>
      <w:suff w:val="space"/>
      <w:lvlText w:val="%1."/>
      <w:lvlJc w:val="left"/>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25" w15:restartNumberingAfterBreak="0">
    <w:nsid w:val="599B1E4C"/>
    <w:multiLevelType w:val="singleLevel"/>
    <w:tmpl w:val="599B1E4C"/>
    <w:lvl w:ilvl="0">
      <w:start w:val="12"/>
      <w:numFmt w:val="decimal"/>
      <w:suff w:val="space"/>
      <w:lvlText w:val="%1."/>
      <w:lvlJc w:val="left"/>
    </w:lvl>
  </w:abstractNum>
  <w:abstractNum w:abstractNumId="26" w15:restartNumberingAfterBreak="0">
    <w:nsid w:val="5C1F6ACC"/>
    <w:multiLevelType w:val="hybridMultilevel"/>
    <w:tmpl w:val="E2E2A9B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1054F2D"/>
    <w:multiLevelType w:val="hybridMultilevel"/>
    <w:tmpl w:val="B022B9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51066B1"/>
    <w:multiLevelType w:val="hybridMultilevel"/>
    <w:tmpl w:val="AE06B9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65442A45"/>
    <w:multiLevelType w:val="hybridMultilevel"/>
    <w:tmpl w:val="8B22261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5780001"/>
    <w:multiLevelType w:val="hybridMultilevel"/>
    <w:tmpl w:val="86B4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3713E9"/>
    <w:multiLevelType w:val="hybridMultilevel"/>
    <w:tmpl w:val="191CBB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BA451C8"/>
    <w:multiLevelType w:val="hybridMultilevel"/>
    <w:tmpl w:val="789EC78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235E62"/>
    <w:multiLevelType w:val="hybridMultilevel"/>
    <w:tmpl w:val="D8C0B7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2F44FAB"/>
    <w:multiLevelType w:val="multilevel"/>
    <w:tmpl w:val="24FE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6C0E79"/>
    <w:multiLevelType w:val="hybridMultilevel"/>
    <w:tmpl w:val="DCF0A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40086D"/>
    <w:multiLevelType w:val="hybridMultilevel"/>
    <w:tmpl w:val="F8206BA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4"/>
  </w:num>
  <w:num w:numId="2">
    <w:abstractNumId w:val="8"/>
  </w:num>
  <w:num w:numId="3">
    <w:abstractNumId w:val="14"/>
  </w:num>
  <w:num w:numId="4">
    <w:abstractNumId w:val="26"/>
  </w:num>
  <w:num w:numId="5">
    <w:abstractNumId w:val="27"/>
  </w:num>
  <w:num w:numId="6">
    <w:abstractNumId w:val="33"/>
  </w:num>
  <w:num w:numId="7">
    <w:abstractNumId w:val="29"/>
  </w:num>
  <w:num w:numId="8">
    <w:abstractNumId w:val="15"/>
  </w:num>
  <w:num w:numId="9">
    <w:abstractNumId w:val="12"/>
  </w:num>
  <w:num w:numId="10">
    <w:abstractNumId w:val="0"/>
  </w:num>
  <w:num w:numId="11">
    <w:abstractNumId w:val="10"/>
  </w:num>
  <w:num w:numId="12">
    <w:abstractNumId w:val="5"/>
  </w:num>
  <w:num w:numId="13">
    <w:abstractNumId w:val="3"/>
  </w:num>
  <w:num w:numId="14">
    <w:abstractNumId w:val="16"/>
  </w:num>
  <w:num w:numId="15">
    <w:abstractNumId w:val="30"/>
  </w:num>
  <w:num w:numId="16">
    <w:abstractNumId w:val="2"/>
  </w:num>
  <w:num w:numId="17">
    <w:abstractNumId w:val="11"/>
  </w:num>
  <w:num w:numId="18">
    <w:abstractNumId w:val="1"/>
  </w:num>
  <w:num w:numId="19">
    <w:abstractNumId w:val="36"/>
  </w:num>
  <w:num w:numId="20">
    <w:abstractNumId w:val="17"/>
  </w:num>
  <w:num w:numId="21">
    <w:abstractNumId w:val="9"/>
  </w:num>
  <w:num w:numId="22">
    <w:abstractNumId w:val="28"/>
  </w:num>
  <w:num w:numId="23">
    <w:abstractNumId w:val="18"/>
  </w:num>
  <w:num w:numId="24">
    <w:abstractNumId w:val="31"/>
  </w:num>
  <w:num w:numId="25">
    <w:abstractNumId w:val="35"/>
  </w:num>
  <w:num w:numId="26">
    <w:abstractNumId w:val="20"/>
  </w:num>
  <w:num w:numId="27">
    <w:abstractNumId w:val="13"/>
  </w:num>
  <w:num w:numId="28">
    <w:abstractNumId w:val="4"/>
  </w:num>
  <w:num w:numId="29">
    <w:abstractNumId w:val="7"/>
  </w:num>
  <w:num w:numId="30">
    <w:abstractNumId w:val="21"/>
  </w:num>
  <w:num w:numId="31">
    <w:abstractNumId w:val="32"/>
  </w:num>
  <w:num w:numId="32">
    <w:abstractNumId w:val="23"/>
  </w:num>
  <w:num w:numId="33">
    <w:abstractNumId w:val="24"/>
  </w:num>
  <w:num w:numId="34">
    <w:abstractNumId w:val="22"/>
  </w:num>
  <w:num w:numId="35">
    <w:abstractNumId w:val="25"/>
  </w:num>
  <w:num w:numId="36">
    <w:abstractNumId w:val="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isplayBackgroundShape/>
  <w:proofState w:spelling="clean" w:grammar="clean"/>
  <w:attachedTemplate r:id="rId1"/>
  <w:linkStyl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99"/>
    <w:rsid w:val="0000114A"/>
    <w:rsid w:val="0002102F"/>
    <w:rsid w:val="000253DB"/>
    <w:rsid w:val="0003503D"/>
    <w:rsid w:val="0003722C"/>
    <w:rsid w:val="0004402B"/>
    <w:rsid w:val="00047559"/>
    <w:rsid w:val="000537AD"/>
    <w:rsid w:val="0007503E"/>
    <w:rsid w:val="00094E73"/>
    <w:rsid w:val="000A0E2B"/>
    <w:rsid w:val="000C25DD"/>
    <w:rsid w:val="000D6EBC"/>
    <w:rsid w:val="000F0D53"/>
    <w:rsid w:val="00100195"/>
    <w:rsid w:val="001034AF"/>
    <w:rsid w:val="00150428"/>
    <w:rsid w:val="00161E79"/>
    <w:rsid w:val="00161EB0"/>
    <w:rsid w:val="001726B3"/>
    <w:rsid w:val="001B4DD1"/>
    <w:rsid w:val="001B7DE2"/>
    <w:rsid w:val="001B7F99"/>
    <w:rsid w:val="001D5E59"/>
    <w:rsid w:val="001F0F85"/>
    <w:rsid w:val="001F4DE5"/>
    <w:rsid w:val="001F4EF4"/>
    <w:rsid w:val="00211D55"/>
    <w:rsid w:val="00226E99"/>
    <w:rsid w:val="00232AAC"/>
    <w:rsid w:val="00250280"/>
    <w:rsid w:val="002550BD"/>
    <w:rsid w:val="00257DDC"/>
    <w:rsid w:val="00276270"/>
    <w:rsid w:val="002826FA"/>
    <w:rsid w:val="00284C85"/>
    <w:rsid w:val="0028646A"/>
    <w:rsid w:val="00290CB4"/>
    <w:rsid w:val="00295505"/>
    <w:rsid w:val="002A1071"/>
    <w:rsid w:val="002A64C0"/>
    <w:rsid w:val="002E1CAC"/>
    <w:rsid w:val="00312B01"/>
    <w:rsid w:val="003130B5"/>
    <w:rsid w:val="0032518D"/>
    <w:rsid w:val="0032665B"/>
    <w:rsid w:val="003325F6"/>
    <w:rsid w:val="00346696"/>
    <w:rsid w:val="00366CE8"/>
    <w:rsid w:val="0039177D"/>
    <w:rsid w:val="003918C5"/>
    <w:rsid w:val="00393091"/>
    <w:rsid w:val="00393B59"/>
    <w:rsid w:val="003B4745"/>
    <w:rsid w:val="003B5BA4"/>
    <w:rsid w:val="003D2D32"/>
    <w:rsid w:val="003F3E7B"/>
    <w:rsid w:val="003F695F"/>
    <w:rsid w:val="00462808"/>
    <w:rsid w:val="004808A1"/>
    <w:rsid w:val="00482A61"/>
    <w:rsid w:val="00486875"/>
    <w:rsid w:val="004B6EF0"/>
    <w:rsid w:val="004D4B21"/>
    <w:rsid w:val="004E0493"/>
    <w:rsid w:val="004F29BA"/>
    <w:rsid w:val="004F4650"/>
    <w:rsid w:val="0051452B"/>
    <w:rsid w:val="00533F23"/>
    <w:rsid w:val="00544F15"/>
    <w:rsid w:val="00573491"/>
    <w:rsid w:val="0057422E"/>
    <w:rsid w:val="00581DAA"/>
    <w:rsid w:val="00591434"/>
    <w:rsid w:val="005926BB"/>
    <w:rsid w:val="00593BCC"/>
    <w:rsid w:val="005A570C"/>
    <w:rsid w:val="005A6C5A"/>
    <w:rsid w:val="005C634D"/>
    <w:rsid w:val="005F5F0D"/>
    <w:rsid w:val="005F6A5F"/>
    <w:rsid w:val="00617FFA"/>
    <w:rsid w:val="00625B66"/>
    <w:rsid w:val="006330C3"/>
    <w:rsid w:val="0063614E"/>
    <w:rsid w:val="0064561C"/>
    <w:rsid w:val="00672A52"/>
    <w:rsid w:val="00682287"/>
    <w:rsid w:val="0068247C"/>
    <w:rsid w:val="00693C19"/>
    <w:rsid w:val="0069649E"/>
    <w:rsid w:val="006A19BB"/>
    <w:rsid w:val="006A486B"/>
    <w:rsid w:val="006B4B30"/>
    <w:rsid w:val="006C2659"/>
    <w:rsid w:val="006D004A"/>
    <w:rsid w:val="006D6BAA"/>
    <w:rsid w:val="006D6E8A"/>
    <w:rsid w:val="006F7AE3"/>
    <w:rsid w:val="00704701"/>
    <w:rsid w:val="007136D3"/>
    <w:rsid w:val="00727ACA"/>
    <w:rsid w:val="00735415"/>
    <w:rsid w:val="00741F08"/>
    <w:rsid w:val="00780DFF"/>
    <w:rsid w:val="0078141A"/>
    <w:rsid w:val="007908FA"/>
    <w:rsid w:val="00794B7C"/>
    <w:rsid w:val="007A3C4E"/>
    <w:rsid w:val="007A521E"/>
    <w:rsid w:val="007A72A7"/>
    <w:rsid w:val="007A7988"/>
    <w:rsid w:val="007B0846"/>
    <w:rsid w:val="007B1DA5"/>
    <w:rsid w:val="007B2DB2"/>
    <w:rsid w:val="007C28D5"/>
    <w:rsid w:val="007C5228"/>
    <w:rsid w:val="00803BA1"/>
    <w:rsid w:val="00853A39"/>
    <w:rsid w:val="00854C04"/>
    <w:rsid w:val="0086314F"/>
    <w:rsid w:val="0087199E"/>
    <w:rsid w:val="00872B18"/>
    <w:rsid w:val="00880CD6"/>
    <w:rsid w:val="00895FC4"/>
    <w:rsid w:val="008B28C6"/>
    <w:rsid w:val="008D54EF"/>
    <w:rsid w:val="008E3D80"/>
    <w:rsid w:val="0092280B"/>
    <w:rsid w:val="00923C26"/>
    <w:rsid w:val="009422F2"/>
    <w:rsid w:val="00950A34"/>
    <w:rsid w:val="00955161"/>
    <w:rsid w:val="0096621C"/>
    <w:rsid w:val="0098420D"/>
    <w:rsid w:val="00992770"/>
    <w:rsid w:val="009D19E0"/>
    <w:rsid w:val="009D558E"/>
    <w:rsid w:val="009E372F"/>
    <w:rsid w:val="009E5E7B"/>
    <w:rsid w:val="009E61D0"/>
    <w:rsid w:val="009F375C"/>
    <w:rsid w:val="00A01495"/>
    <w:rsid w:val="00A02215"/>
    <w:rsid w:val="00A12FA9"/>
    <w:rsid w:val="00A26450"/>
    <w:rsid w:val="00A312E6"/>
    <w:rsid w:val="00A503E2"/>
    <w:rsid w:val="00A5174D"/>
    <w:rsid w:val="00A51C47"/>
    <w:rsid w:val="00A524D3"/>
    <w:rsid w:val="00A56C17"/>
    <w:rsid w:val="00A66DD9"/>
    <w:rsid w:val="00A82A63"/>
    <w:rsid w:val="00AB2902"/>
    <w:rsid w:val="00AB6791"/>
    <w:rsid w:val="00AC3362"/>
    <w:rsid w:val="00AC5021"/>
    <w:rsid w:val="00AD566E"/>
    <w:rsid w:val="00AE0141"/>
    <w:rsid w:val="00B009B2"/>
    <w:rsid w:val="00B02F0D"/>
    <w:rsid w:val="00B02F11"/>
    <w:rsid w:val="00B103D8"/>
    <w:rsid w:val="00B13B51"/>
    <w:rsid w:val="00B202A8"/>
    <w:rsid w:val="00B443C1"/>
    <w:rsid w:val="00B819AF"/>
    <w:rsid w:val="00B81B98"/>
    <w:rsid w:val="00BA5176"/>
    <w:rsid w:val="00BA5BD6"/>
    <w:rsid w:val="00BC36A8"/>
    <w:rsid w:val="00BD4141"/>
    <w:rsid w:val="00C02EE9"/>
    <w:rsid w:val="00C30844"/>
    <w:rsid w:val="00C4409D"/>
    <w:rsid w:val="00C443A2"/>
    <w:rsid w:val="00C73ED9"/>
    <w:rsid w:val="00C83C84"/>
    <w:rsid w:val="00C91FC0"/>
    <w:rsid w:val="00C9759B"/>
    <w:rsid w:val="00CA5FE2"/>
    <w:rsid w:val="00CB35BB"/>
    <w:rsid w:val="00CC3B06"/>
    <w:rsid w:val="00CD2A70"/>
    <w:rsid w:val="00CD426A"/>
    <w:rsid w:val="00CF1F1E"/>
    <w:rsid w:val="00D037A0"/>
    <w:rsid w:val="00D03A5F"/>
    <w:rsid w:val="00D130A6"/>
    <w:rsid w:val="00D164DA"/>
    <w:rsid w:val="00D16D2B"/>
    <w:rsid w:val="00D35129"/>
    <w:rsid w:val="00D368CB"/>
    <w:rsid w:val="00D47AFE"/>
    <w:rsid w:val="00D53AE1"/>
    <w:rsid w:val="00D7646F"/>
    <w:rsid w:val="00D82B39"/>
    <w:rsid w:val="00DA36E2"/>
    <w:rsid w:val="00DE4056"/>
    <w:rsid w:val="00E14A95"/>
    <w:rsid w:val="00E17368"/>
    <w:rsid w:val="00E341D7"/>
    <w:rsid w:val="00E511DB"/>
    <w:rsid w:val="00E57A57"/>
    <w:rsid w:val="00E7707C"/>
    <w:rsid w:val="00E830A3"/>
    <w:rsid w:val="00E8377D"/>
    <w:rsid w:val="00E96ACA"/>
    <w:rsid w:val="00EB2F2D"/>
    <w:rsid w:val="00EC35AC"/>
    <w:rsid w:val="00F01B7F"/>
    <w:rsid w:val="00F0256C"/>
    <w:rsid w:val="00F2005F"/>
    <w:rsid w:val="00F344F4"/>
    <w:rsid w:val="00F3589D"/>
    <w:rsid w:val="00F4224D"/>
    <w:rsid w:val="00F544C1"/>
    <w:rsid w:val="00F639DD"/>
    <w:rsid w:val="00FA21CB"/>
    <w:rsid w:val="00FC2C1B"/>
    <w:rsid w:val="00FC37FA"/>
    <w:rsid w:val="00FF1BF8"/>
    <w:rsid w:val="00FF41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32EF1"/>
  <w15:docId w15:val="{4B4DA202-4CE7-45A4-AD17-5E3F2BB2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11. Πίνακας και Σχήμα,Table text"/>
    <w:qFormat/>
    <w:rsid w:val="00312B01"/>
    <w:pPr>
      <w:spacing w:after="0" w:line="240" w:lineRule="auto"/>
    </w:pPr>
    <w:rPr>
      <w:rFonts w:ascii="Cambria" w:eastAsia="Times New Roman" w:hAnsi="Cambria" w:cs="Times New Roman"/>
      <w:sz w:val="24"/>
      <w:lang w:eastAsia="nl-NL"/>
    </w:rPr>
  </w:style>
  <w:style w:type="paragraph" w:styleId="1">
    <w:name w:val="heading 1"/>
    <w:basedOn w:val="a"/>
    <w:next w:val="a"/>
    <w:link w:val="1Char"/>
    <w:uiPriority w:val="9"/>
    <w:rsid w:val="00312B01"/>
    <w:pPr>
      <w:keepNext/>
      <w:keepLines/>
      <w:spacing w:before="240"/>
      <w:outlineLvl w:val="0"/>
    </w:pPr>
    <w:rPr>
      <w:rFonts w:asciiTheme="majorHAnsi" w:eastAsiaTheme="majorEastAsia" w:hAnsiTheme="majorHAnsi" w:cstheme="majorBidi"/>
      <w:color w:val="31479E"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2B01"/>
    <w:pPr>
      <w:tabs>
        <w:tab w:val="center" w:pos="4536"/>
        <w:tab w:val="right" w:pos="9072"/>
      </w:tabs>
    </w:pPr>
  </w:style>
  <w:style w:type="character" w:customStyle="1" w:styleId="Char">
    <w:name w:val="Κεφαλίδα Char"/>
    <w:basedOn w:val="a0"/>
    <w:link w:val="a3"/>
    <w:uiPriority w:val="99"/>
    <w:rsid w:val="00312B01"/>
    <w:rPr>
      <w:rFonts w:ascii="Cambria" w:eastAsia="Times New Roman" w:hAnsi="Cambria" w:cs="Times New Roman"/>
      <w:sz w:val="24"/>
      <w:lang w:eastAsia="nl-NL"/>
    </w:rPr>
  </w:style>
  <w:style w:type="paragraph" w:styleId="a4">
    <w:name w:val="footer"/>
    <w:basedOn w:val="a"/>
    <w:link w:val="Char0"/>
    <w:uiPriority w:val="99"/>
    <w:unhideWhenUsed/>
    <w:rsid w:val="00312B01"/>
    <w:pPr>
      <w:tabs>
        <w:tab w:val="center" w:pos="4536"/>
        <w:tab w:val="right" w:pos="9072"/>
      </w:tabs>
    </w:pPr>
  </w:style>
  <w:style w:type="character" w:customStyle="1" w:styleId="Char0">
    <w:name w:val="Υποσέλιδο Char"/>
    <w:basedOn w:val="a0"/>
    <w:link w:val="a4"/>
    <w:uiPriority w:val="99"/>
    <w:rsid w:val="00312B01"/>
    <w:rPr>
      <w:rFonts w:ascii="Cambria" w:eastAsia="Times New Roman" w:hAnsi="Cambria" w:cs="Times New Roman"/>
      <w:sz w:val="24"/>
      <w:lang w:eastAsia="nl-NL"/>
    </w:rPr>
  </w:style>
  <w:style w:type="paragraph" w:styleId="a5">
    <w:name w:val="Balloon Text"/>
    <w:basedOn w:val="a"/>
    <w:link w:val="Char1"/>
    <w:uiPriority w:val="99"/>
    <w:semiHidden/>
    <w:unhideWhenUsed/>
    <w:rsid w:val="00312B01"/>
    <w:rPr>
      <w:rFonts w:ascii="Segoe UI" w:hAnsi="Segoe UI" w:cs="Segoe UI"/>
      <w:sz w:val="18"/>
      <w:szCs w:val="18"/>
    </w:rPr>
  </w:style>
  <w:style w:type="character" w:customStyle="1" w:styleId="Char1">
    <w:name w:val="Κείμενο πλαισίου Char"/>
    <w:basedOn w:val="a0"/>
    <w:link w:val="a5"/>
    <w:uiPriority w:val="99"/>
    <w:semiHidden/>
    <w:rsid w:val="00312B01"/>
    <w:rPr>
      <w:rFonts w:ascii="Segoe UI" w:eastAsia="Times New Roman" w:hAnsi="Segoe UI" w:cs="Segoe UI"/>
      <w:sz w:val="18"/>
      <w:szCs w:val="18"/>
      <w:lang w:eastAsia="nl-NL"/>
    </w:rPr>
  </w:style>
  <w:style w:type="table" w:styleId="a6">
    <w:name w:val="Table Grid"/>
    <w:basedOn w:val="a1"/>
    <w:uiPriority w:val="59"/>
    <w:rsid w:val="00312B01"/>
    <w:pPr>
      <w:spacing w:after="0" w:line="240" w:lineRule="auto"/>
    </w:pPr>
    <w:rPr>
      <w:rFonts w:ascii="Times New Roman" w:hAnsi="Times New Roman" w:cs="Times New Roman"/>
      <w:sz w:val="24"/>
      <w:szCs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Intense Reference"/>
    <w:basedOn w:val="a0"/>
    <w:uiPriority w:val="32"/>
    <w:rsid w:val="00312B01"/>
    <w:rPr>
      <w:b/>
      <w:bCs/>
      <w:smallCaps/>
      <w:color w:val="4E67C8" w:themeColor="accent1"/>
      <w:spacing w:val="5"/>
    </w:rPr>
  </w:style>
  <w:style w:type="paragraph" w:styleId="a8">
    <w:name w:val="Intense Quote"/>
    <w:basedOn w:val="a"/>
    <w:next w:val="a"/>
    <w:link w:val="Char2"/>
    <w:uiPriority w:val="30"/>
    <w:rsid w:val="00312B01"/>
    <w:pPr>
      <w:pBdr>
        <w:top w:val="single" w:sz="4" w:space="10" w:color="4E67C8" w:themeColor="accent1"/>
        <w:bottom w:val="single" w:sz="4" w:space="10" w:color="4E67C8" w:themeColor="accent1"/>
      </w:pBdr>
      <w:spacing w:before="360" w:after="360"/>
      <w:ind w:left="864" w:right="864"/>
      <w:jc w:val="center"/>
    </w:pPr>
    <w:rPr>
      <w:i/>
      <w:iCs/>
      <w:color w:val="4E67C8" w:themeColor="accent1"/>
    </w:rPr>
  </w:style>
  <w:style w:type="character" w:customStyle="1" w:styleId="Char2">
    <w:name w:val="Έντονο απόσπασμα Char"/>
    <w:basedOn w:val="a0"/>
    <w:link w:val="a8"/>
    <w:uiPriority w:val="30"/>
    <w:rsid w:val="00312B01"/>
    <w:rPr>
      <w:rFonts w:ascii="Cambria" w:eastAsia="Times New Roman" w:hAnsi="Cambria" w:cs="Times New Roman"/>
      <w:i/>
      <w:iCs/>
      <w:color w:val="4E67C8" w:themeColor="accent1"/>
      <w:sz w:val="24"/>
      <w:lang w:eastAsia="nl-NL"/>
    </w:rPr>
  </w:style>
  <w:style w:type="character" w:styleId="a9">
    <w:name w:val="annotation reference"/>
    <w:basedOn w:val="a0"/>
    <w:uiPriority w:val="99"/>
    <w:semiHidden/>
    <w:unhideWhenUsed/>
    <w:rsid w:val="00312B01"/>
    <w:rPr>
      <w:sz w:val="16"/>
      <w:szCs w:val="16"/>
    </w:rPr>
  </w:style>
  <w:style w:type="paragraph" w:styleId="aa">
    <w:name w:val="annotation text"/>
    <w:basedOn w:val="a"/>
    <w:link w:val="Char3"/>
    <w:uiPriority w:val="99"/>
    <w:semiHidden/>
    <w:unhideWhenUsed/>
    <w:rsid w:val="00312B01"/>
    <w:rPr>
      <w:sz w:val="20"/>
      <w:szCs w:val="20"/>
    </w:rPr>
  </w:style>
  <w:style w:type="character" w:customStyle="1" w:styleId="Char3">
    <w:name w:val="Κείμενο σχολίου Char"/>
    <w:basedOn w:val="a0"/>
    <w:link w:val="aa"/>
    <w:uiPriority w:val="99"/>
    <w:semiHidden/>
    <w:rsid w:val="00312B01"/>
    <w:rPr>
      <w:rFonts w:ascii="Cambria" w:eastAsia="Times New Roman" w:hAnsi="Cambria" w:cs="Times New Roman"/>
      <w:sz w:val="20"/>
      <w:szCs w:val="20"/>
      <w:lang w:eastAsia="nl-NL"/>
    </w:rPr>
  </w:style>
  <w:style w:type="paragraph" w:styleId="ab">
    <w:name w:val="annotation subject"/>
    <w:basedOn w:val="aa"/>
    <w:next w:val="aa"/>
    <w:link w:val="Char4"/>
    <w:uiPriority w:val="99"/>
    <w:semiHidden/>
    <w:unhideWhenUsed/>
    <w:rsid w:val="00312B01"/>
    <w:rPr>
      <w:b/>
      <w:bCs/>
    </w:rPr>
  </w:style>
  <w:style w:type="character" w:customStyle="1" w:styleId="Char4">
    <w:name w:val="Θέμα σχολίου Char"/>
    <w:basedOn w:val="Char3"/>
    <w:link w:val="ab"/>
    <w:uiPriority w:val="99"/>
    <w:semiHidden/>
    <w:rsid w:val="00312B01"/>
    <w:rPr>
      <w:rFonts w:ascii="Cambria" w:eastAsia="Times New Roman" w:hAnsi="Cambria" w:cs="Times New Roman"/>
      <w:b/>
      <w:bCs/>
      <w:sz w:val="20"/>
      <w:szCs w:val="20"/>
      <w:lang w:eastAsia="nl-NL"/>
    </w:rPr>
  </w:style>
  <w:style w:type="paragraph" w:styleId="ac">
    <w:name w:val="No Spacing"/>
    <w:link w:val="Char5"/>
    <w:uiPriority w:val="1"/>
    <w:rsid w:val="00312B01"/>
    <w:pPr>
      <w:spacing w:after="0" w:line="240" w:lineRule="auto"/>
    </w:pPr>
    <w:rPr>
      <w:rFonts w:eastAsiaTheme="minorEastAsia"/>
      <w:lang w:eastAsia="nl-NL"/>
    </w:rPr>
  </w:style>
  <w:style w:type="character" w:customStyle="1" w:styleId="Char5">
    <w:name w:val="Χωρίς διάστιχο Char"/>
    <w:basedOn w:val="a0"/>
    <w:link w:val="ac"/>
    <w:uiPriority w:val="1"/>
    <w:rsid w:val="00312B01"/>
    <w:rPr>
      <w:rFonts w:eastAsiaTheme="minorEastAsia"/>
      <w:lang w:eastAsia="nl-NL"/>
    </w:rPr>
  </w:style>
  <w:style w:type="paragraph" w:styleId="ad">
    <w:name w:val="Title"/>
    <w:basedOn w:val="a"/>
    <w:next w:val="a"/>
    <w:link w:val="Char6"/>
    <w:uiPriority w:val="10"/>
    <w:rsid w:val="00312B0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Char6">
    <w:name w:val="Τίτλος Char"/>
    <w:basedOn w:val="a0"/>
    <w:link w:val="ad"/>
    <w:uiPriority w:val="10"/>
    <w:rsid w:val="00312B01"/>
    <w:rPr>
      <w:rFonts w:asciiTheme="majorHAnsi" w:eastAsiaTheme="majorEastAsia" w:hAnsiTheme="majorHAnsi" w:cstheme="majorBidi"/>
      <w:color w:val="404040" w:themeColor="text1" w:themeTint="BF"/>
      <w:spacing w:val="-10"/>
      <w:kern w:val="28"/>
      <w:sz w:val="56"/>
      <w:szCs w:val="56"/>
      <w:lang w:eastAsia="nl-NL"/>
    </w:rPr>
  </w:style>
  <w:style w:type="paragraph" w:styleId="ae">
    <w:name w:val="Subtitle"/>
    <w:basedOn w:val="a"/>
    <w:next w:val="a"/>
    <w:link w:val="Char7"/>
    <w:uiPriority w:val="11"/>
    <w:rsid w:val="00312B01"/>
    <w:pPr>
      <w:numPr>
        <w:ilvl w:val="1"/>
      </w:numPr>
      <w:spacing w:after="160" w:line="259" w:lineRule="auto"/>
      <w:ind w:firstLine="360"/>
    </w:pPr>
    <w:rPr>
      <w:rFonts w:asciiTheme="minorHAnsi" w:eastAsiaTheme="minorEastAsia" w:hAnsiTheme="minorHAnsi"/>
      <w:color w:val="5A5A5A" w:themeColor="text1" w:themeTint="A5"/>
      <w:spacing w:val="15"/>
    </w:rPr>
  </w:style>
  <w:style w:type="character" w:customStyle="1" w:styleId="Char7">
    <w:name w:val="Υπότιτλος Char"/>
    <w:basedOn w:val="a0"/>
    <w:link w:val="ae"/>
    <w:uiPriority w:val="11"/>
    <w:rsid w:val="00312B01"/>
    <w:rPr>
      <w:rFonts w:eastAsiaTheme="minorEastAsia" w:cs="Times New Roman"/>
      <w:color w:val="5A5A5A" w:themeColor="text1" w:themeTint="A5"/>
      <w:spacing w:val="15"/>
      <w:sz w:val="24"/>
      <w:lang w:eastAsia="nl-NL"/>
    </w:rPr>
  </w:style>
  <w:style w:type="paragraph" w:customStyle="1" w:styleId="3">
    <w:name w:val="3. Φορέας"/>
    <w:basedOn w:val="a"/>
    <w:next w:val="4"/>
    <w:link w:val="3Char"/>
    <w:qFormat/>
    <w:rsid w:val="00591434"/>
    <w:pPr>
      <w:spacing w:after="480" w:line="264" w:lineRule="auto"/>
      <w:contextualSpacing/>
      <w:jc w:val="center"/>
    </w:pPr>
    <w:rPr>
      <w:rFonts w:eastAsia="Yu Gothic UI" w:cstheme="minorHAnsi"/>
      <w:i/>
      <w:szCs w:val="32"/>
      <w:lang w:val="el-GR"/>
    </w:rPr>
  </w:style>
  <w:style w:type="paragraph" w:customStyle="1" w:styleId="2">
    <w:name w:val="2. Ονόματα Συγγραφέων"/>
    <w:basedOn w:val="a"/>
    <w:link w:val="2Char"/>
    <w:qFormat/>
    <w:rsid w:val="00591434"/>
    <w:pPr>
      <w:spacing w:line="264" w:lineRule="auto"/>
      <w:ind w:firstLine="425"/>
      <w:jc w:val="center"/>
    </w:pPr>
    <w:rPr>
      <w:rFonts w:eastAsia="Yu Gothic UI" w:cstheme="minorHAnsi"/>
      <w:b/>
      <w:sz w:val="26"/>
      <w:szCs w:val="24"/>
      <w:lang w:val="el-GR"/>
    </w:rPr>
  </w:style>
  <w:style w:type="character" w:customStyle="1" w:styleId="3Char">
    <w:name w:val="3. Φορέας Char"/>
    <w:basedOn w:val="a0"/>
    <w:link w:val="3"/>
    <w:rsid w:val="00591434"/>
    <w:rPr>
      <w:rFonts w:ascii="Cambria" w:eastAsia="Yu Gothic UI" w:hAnsi="Cambria" w:cstheme="minorHAnsi"/>
      <w:i/>
      <w:sz w:val="24"/>
      <w:szCs w:val="32"/>
      <w:lang w:val="el-GR" w:eastAsia="nl-NL"/>
    </w:rPr>
  </w:style>
  <w:style w:type="paragraph" w:customStyle="1" w:styleId="af">
    <w:name w:val="Τμήματα Συγγραφέων"/>
    <w:basedOn w:val="a"/>
    <w:link w:val="Char8"/>
    <w:rsid w:val="00312B01"/>
    <w:pPr>
      <w:spacing w:line="264" w:lineRule="auto"/>
      <w:jc w:val="center"/>
    </w:pPr>
    <w:rPr>
      <w:rFonts w:eastAsia="Yu Gothic UI" w:cstheme="minorHAnsi"/>
      <w:szCs w:val="24"/>
      <w:lang w:val="el-GR" w:eastAsia="en-US"/>
    </w:rPr>
  </w:style>
  <w:style w:type="character" w:customStyle="1" w:styleId="2Char">
    <w:name w:val="2. Ονόματα Συγγραφέων Char"/>
    <w:basedOn w:val="a0"/>
    <w:link w:val="2"/>
    <w:rsid w:val="00591434"/>
    <w:rPr>
      <w:rFonts w:ascii="Cambria" w:eastAsia="Yu Gothic UI" w:hAnsi="Cambria" w:cstheme="minorHAnsi"/>
      <w:b/>
      <w:sz w:val="26"/>
      <w:szCs w:val="24"/>
      <w:lang w:val="el-GR" w:eastAsia="nl-NL"/>
    </w:rPr>
  </w:style>
  <w:style w:type="paragraph" w:customStyle="1" w:styleId="103">
    <w:name w:val="10. Τίτλος 3"/>
    <w:basedOn w:val="92"/>
    <w:link w:val="103Char"/>
    <w:qFormat/>
    <w:rsid w:val="00591434"/>
    <w:pPr>
      <w:spacing w:line="264" w:lineRule="auto"/>
      <w:ind w:left="567" w:right="567" w:firstLine="709"/>
      <w:jc w:val="both"/>
    </w:pPr>
    <w:rPr>
      <w:b w:val="0"/>
      <w:bCs/>
      <w:sz w:val="20"/>
      <w:szCs w:val="20"/>
    </w:rPr>
  </w:style>
  <w:style w:type="character" w:customStyle="1" w:styleId="Char8">
    <w:name w:val="Τμήματα Συγγραφέων Char"/>
    <w:basedOn w:val="a0"/>
    <w:link w:val="af"/>
    <w:rsid w:val="00312B01"/>
    <w:rPr>
      <w:rFonts w:ascii="Cambria" w:eastAsia="Yu Gothic UI" w:hAnsi="Cambria" w:cstheme="minorHAnsi"/>
      <w:sz w:val="24"/>
      <w:szCs w:val="24"/>
      <w:lang w:val="el-GR"/>
    </w:rPr>
  </w:style>
  <w:style w:type="paragraph" w:customStyle="1" w:styleId="5">
    <w:name w:val="5. Κείμενο Περίληψης"/>
    <w:basedOn w:val="a"/>
    <w:link w:val="5Char"/>
    <w:autoRedefine/>
    <w:qFormat/>
    <w:rsid w:val="00591434"/>
    <w:pPr>
      <w:ind w:left="567" w:right="567"/>
      <w:jc w:val="both"/>
    </w:pPr>
    <w:rPr>
      <w:rFonts w:eastAsia="Yu Gothic UI" w:cstheme="minorHAnsi"/>
      <w:sz w:val="22"/>
      <w:szCs w:val="20"/>
      <w:lang w:val="el-GR"/>
    </w:rPr>
  </w:style>
  <w:style w:type="character" w:customStyle="1" w:styleId="103Char">
    <w:name w:val="10. Τίτλος 3 Char"/>
    <w:basedOn w:val="a0"/>
    <w:link w:val="103"/>
    <w:rsid w:val="00591434"/>
    <w:rPr>
      <w:rFonts w:ascii="Cambria" w:eastAsia="Yu Gothic UI" w:hAnsi="Cambria" w:cstheme="minorHAnsi"/>
      <w:bCs/>
      <w:sz w:val="20"/>
      <w:szCs w:val="20"/>
      <w:lang w:val="el-GR" w:eastAsia="nl-NL"/>
    </w:rPr>
  </w:style>
  <w:style w:type="paragraph" w:customStyle="1" w:styleId="af0">
    <w:name w:val="Τίτλος λέξεων κλειδιών"/>
    <w:basedOn w:val="a"/>
    <w:link w:val="Char9"/>
    <w:rsid w:val="00312B01"/>
    <w:pPr>
      <w:spacing w:after="480" w:line="264" w:lineRule="auto"/>
      <w:ind w:left="567" w:right="566"/>
      <w:jc w:val="both"/>
    </w:pPr>
    <w:rPr>
      <w:rFonts w:eastAsia="Yu Gothic UI" w:cstheme="minorHAnsi"/>
      <w:b/>
      <w:sz w:val="20"/>
      <w:szCs w:val="20"/>
      <w:lang w:val="el-GR"/>
    </w:rPr>
  </w:style>
  <w:style w:type="character" w:customStyle="1" w:styleId="5Char">
    <w:name w:val="5. Κείμενο Περίληψης Char"/>
    <w:basedOn w:val="a0"/>
    <w:link w:val="5"/>
    <w:rsid w:val="00591434"/>
    <w:rPr>
      <w:rFonts w:ascii="Cambria" w:eastAsia="Yu Gothic UI" w:hAnsi="Cambria" w:cstheme="minorHAnsi"/>
      <w:szCs w:val="20"/>
      <w:lang w:val="el-GR" w:eastAsia="nl-NL"/>
    </w:rPr>
  </w:style>
  <w:style w:type="paragraph" w:customStyle="1" w:styleId="6-">
    <w:name w:val="6. Λέξεις-κλειδιά"/>
    <w:basedOn w:val="a"/>
    <w:link w:val="6-Char"/>
    <w:qFormat/>
    <w:rsid w:val="00591434"/>
    <w:pPr>
      <w:spacing w:after="480" w:line="264" w:lineRule="auto"/>
      <w:ind w:left="567" w:right="567" w:firstLine="284"/>
      <w:jc w:val="both"/>
    </w:pPr>
    <w:rPr>
      <w:rFonts w:eastAsia="Yu Gothic UI" w:cstheme="minorHAnsi"/>
      <w:sz w:val="22"/>
      <w:szCs w:val="20"/>
      <w:lang w:val="el-GR"/>
    </w:rPr>
  </w:style>
  <w:style w:type="character" w:customStyle="1" w:styleId="Char9">
    <w:name w:val="Τίτλος λέξεων κλειδιών Char"/>
    <w:basedOn w:val="a0"/>
    <w:link w:val="af0"/>
    <w:rsid w:val="00312B01"/>
    <w:rPr>
      <w:rFonts w:ascii="Cambria" w:eastAsia="Yu Gothic UI" w:hAnsi="Cambria" w:cstheme="minorHAnsi"/>
      <w:b/>
      <w:sz w:val="20"/>
      <w:szCs w:val="20"/>
      <w:lang w:val="el-GR" w:eastAsia="nl-NL"/>
    </w:rPr>
  </w:style>
  <w:style w:type="paragraph" w:customStyle="1" w:styleId="10">
    <w:name w:val="1. Τίτλος Άρθρου"/>
    <w:basedOn w:val="af1"/>
    <w:next w:val="2"/>
    <w:link w:val="1Char0"/>
    <w:qFormat/>
    <w:rsid w:val="00D53AE1"/>
    <w:pPr>
      <w:spacing w:after="480" w:line="240" w:lineRule="auto"/>
      <w:jc w:val="center"/>
    </w:pPr>
    <w:rPr>
      <w:b/>
      <w:bCs/>
      <w:sz w:val="28"/>
      <w:szCs w:val="26"/>
      <w:lang w:val="el-GR"/>
    </w:rPr>
  </w:style>
  <w:style w:type="character" w:customStyle="1" w:styleId="6-Char">
    <w:name w:val="6. Λέξεις-κλειδιά Char"/>
    <w:basedOn w:val="a0"/>
    <w:link w:val="6-"/>
    <w:rsid w:val="00591434"/>
    <w:rPr>
      <w:rFonts w:ascii="Cambria" w:eastAsia="Yu Gothic UI" w:hAnsi="Cambria" w:cstheme="minorHAnsi"/>
      <w:szCs w:val="20"/>
      <w:lang w:val="el-GR" w:eastAsia="nl-NL"/>
    </w:rPr>
  </w:style>
  <w:style w:type="paragraph" w:customStyle="1" w:styleId="af2">
    <w:name w:val="Κυρίως κείμενο"/>
    <w:basedOn w:val="a"/>
    <w:link w:val="Chara"/>
    <w:rsid w:val="00312B01"/>
    <w:pPr>
      <w:spacing w:line="264" w:lineRule="auto"/>
      <w:jc w:val="both"/>
    </w:pPr>
    <w:rPr>
      <w:rFonts w:eastAsia="Yu Gothic UI" w:cstheme="minorHAnsi"/>
      <w:lang w:val="el-GR"/>
    </w:rPr>
  </w:style>
  <w:style w:type="character" w:customStyle="1" w:styleId="1Char0">
    <w:name w:val="1. Τίτλος Άρθρου Char"/>
    <w:basedOn w:val="a0"/>
    <w:link w:val="10"/>
    <w:rsid w:val="00D53AE1"/>
    <w:rPr>
      <w:rFonts w:ascii="Cambria" w:eastAsia="Yu Gothic UI" w:hAnsi="Cambria" w:cstheme="minorHAnsi"/>
      <w:b/>
      <w:bCs/>
      <w:sz w:val="28"/>
      <w:szCs w:val="26"/>
      <w:lang w:val="el-GR" w:eastAsia="en-GB"/>
    </w:rPr>
  </w:style>
  <w:style w:type="paragraph" w:customStyle="1" w:styleId="af3">
    <w:name w:val="Υπότιτλοι"/>
    <w:basedOn w:val="a"/>
    <w:link w:val="Charb"/>
    <w:rsid w:val="00312B01"/>
    <w:pPr>
      <w:spacing w:after="120" w:line="264" w:lineRule="auto"/>
      <w:ind w:firstLine="425"/>
      <w:jc w:val="center"/>
    </w:pPr>
    <w:rPr>
      <w:rFonts w:eastAsia="Yu Gothic UI" w:cstheme="minorHAnsi"/>
      <w:i/>
      <w:szCs w:val="24"/>
      <w:lang w:val="el-GR"/>
    </w:rPr>
  </w:style>
  <w:style w:type="character" w:customStyle="1" w:styleId="Chara">
    <w:name w:val="Κυρίως κείμενο Char"/>
    <w:basedOn w:val="a0"/>
    <w:link w:val="af2"/>
    <w:rsid w:val="00312B01"/>
    <w:rPr>
      <w:rFonts w:ascii="Cambria" w:eastAsia="Yu Gothic UI" w:hAnsi="Cambria" w:cstheme="minorHAnsi"/>
      <w:sz w:val="24"/>
      <w:lang w:val="el-GR" w:eastAsia="nl-NL"/>
    </w:rPr>
  </w:style>
  <w:style w:type="paragraph" w:customStyle="1" w:styleId="af4">
    <w:name w:val="Τίτλοι εργαλείων"/>
    <w:basedOn w:val="a"/>
    <w:link w:val="Charc"/>
    <w:rsid w:val="00312B01"/>
    <w:pPr>
      <w:spacing w:line="264" w:lineRule="auto"/>
      <w:ind w:firstLine="426"/>
      <w:jc w:val="both"/>
    </w:pPr>
    <w:rPr>
      <w:rFonts w:eastAsia="Yu Gothic UI" w:cstheme="minorHAnsi"/>
      <w:b/>
      <w:i/>
      <w:lang w:val="en-US"/>
    </w:rPr>
  </w:style>
  <w:style w:type="character" w:customStyle="1" w:styleId="Charb">
    <w:name w:val="Υπότιτλοι Char"/>
    <w:basedOn w:val="a0"/>
    <w:link w:val="af3"/>
    <w:rsid w:val="00312B01"/>
    <w:rPr>
      <w:rFonts w:ascii="Cambria" w:eastAsia="Yu Gothic UI" w:hAnsi="Cambria" w:cstheme="minorHAnsi"/>
      <w:i/>
      <w:sz w:val="24"/>
      <w:szCs w:val="24"/>
      <w:lang w:val="el-GR" w:eastAsia="nl-NL"/>
    </w:rPr>
  </w:style>
  <w:style w:type="paragraph" w:customStyle="1" w:styleId="af5">
    <w:name w:val="Τίτλος Πίνακα"/>
    <w:basedOn w:val="a"/>
    <w:link w:val="Chard"/>
    <w:rsid w:val="00312B01"/>
    <w:pPr>
      <w:spacing w:after="120" w:line="264" w:lineRule="auto"/>
      <w:jc w:val="both"/>
    </w:pPr>
    <w:rPr>
      <w:rFonts w:eastAsia="Calibri"/>
      <w:b/>
      <w:lang w:val="el-GR"/>
    </w:rPr>
  </w:style>
  <w:style w:type="character" w:customStyle="1" w:styleId="Charc">
    <w:name w:val="Τίτλοι εργαλείων Char"/>
    <w:basedOn w:val="a0"/>
    <w:link w:val="af4"/>
    <w:rsid w:val="00312B01"/>
    <w:rPr>
      <w:rFonts w:ascii="Cambria" w:eastAsia="Yu Gothic UI" w:hAnsi="Cambria" w:cstheme="minorHAnsi"/>
      <w:b/>
      <w:i/>
      <w:sz w:val="24"/>
      <w:lang w:val="en-US" w:eastAsia="nl-NL"/>
    </w:rPr>
  </w:style>
  <w:style w:type="paragraph" w:customStyle="1" w:styleId="af6">
    <w:name w:val="Κείμενο εκφώνησης πίνακα"/>
    <w:basedOn w:val="a"/>
    <w:link w:val="Chare"/>
    <w:rsid w:val="0002102F"/>
    <w:pPr>
      <w:spacing w:after="120" w:line="264" w:lineRule="auto"/>
      <w:jc w:val="both"/>
    </w:pPr>
    <w:rPr>
      <w:rFonts w:eastAsia="Calibri"/>
      <w:lang w:val="el-GR"/>
    </w:rPr>
  </w:style>
  <w:style w:type="character" w:customStyle="1" w:styleId="Chard">
    <w:name w:val="Τίτλος Πίνακα Char"/>
    <w:basedOn w:val="a0"/>
    <w:link w:val="af5"/>
    <w:rsid w:val="00312B01"/>
    <w:rPr>
      <w:rFonts w:ascii="Cambria" w:eastAsia="Calibri" w:hAnsi="Cambria" w:cs="Times New Roman"/>
      <w:b/>
      <w:sz w:val="24"/>
      <w:lang w:val="el-GR" w:eastAsia="nl-NL"/>
    </w:rPr>
  </w:style>
  <w:style w:type="paragraph" w:customStyle="1" w:styleId="af7">
    <w:name w:val="Τίτλος Παραρτήματος"/>
    <w:basedOn w:val="a"/>
    <w:link w:val="Charf"/>
    <w:rsid w:val="00312B01"/>
    <w:pPr>
      <w:spacing w:before="480" w:after="560" w:line="264" w:lineRule="auto"/>
      <w:jc w:val="center"/>
    </w:pPr>
    <w:rPr>
      <w:b/>
      <w:smallCaps/>
      <w:sz w:val="26"/>
      <w:lang w:val="el-GR"/>
    </w:rPr>
  </w:style>
  <w:style w:type="character" w:customStyle="1" w:styleId="Chare">
    <w:name w:val="Κείμενο εκφώνησης πίνακα Char"/>
    <w:basedOn w:val="a0"/>
    <w:link w:val="af6"/>
    <w:rsid w:val="0002102F"/>
    <w:rPr>
      <w:rFonts w:ascii="Cambria" w:eastAsia="Calibri" w:hAnsi="Cambria" w:cs="Times New Roman"/>
      <w:lang w:val="el-GR" w:eastAsia="nl-NL"/>
    </w:rPr>
  </w:style>
  <w:style w:type="character" w:customStyle="1" w:styleId="Charf">
    <w:name w:val="Τίτλος Παραρτήματος Char"/>
    <w:basedOn w:val="a0"/>
    <w:link w:val="af7"/>
    <w:rsid w:val="00312B01"/>
    <w:rPr>
      <w:rFonts w:ascii="Cambria" w:eastAsia="Times New Roman" w:hAnsi="Cambria" w:cs="Times New Roman"/>
      <w:b/>
      <w:smallCaps/>
      <w:sz w:val="26"/>
      <w:lang w:val="el-GR" w:eastAsia="nl-NL"/>
    </w:rPr>
  </w:style>
  <w:style w:type="paragraph" w:customStyle="1" w:styleId="af8">
    <w:name w:val="Βιβλιογραφικές αναφορές"/>
    <w:basedOn w:val="a"/>
    <w:link w:val="Charf0"/>
    <w:rsid w:val="003918C5"/>
    <w:pPr>
      <w:spacing w:line="264" w:lineRule="auto"/>
      <w:ind w:left="425" w:hanging="425"/>
    </w:pPr>
    <w:rPr>
      <w:lang w:val="en-US"/>
    </w:rPr>
  </w:style>
  <w:style w:type="character" w:customStyle="1" w:styleId="Charf0">
    <w:name w:val="Βιβλιογραφικές αναφορές Char"/>
    <w:basedOn w:val="a0"/>
    <w:link w:val="af8"/>
    <w:rsid w:val="003918C5"/>
    <w:rPr>
      <w:rFonts w:ascii="Cambria" w:eastAsia="Times New Roman" w:hAnsi="Cambria" w:cs="Times New Roman"/>
      <w:lang w:val="en-US" w:eastAsia="nl-NL"/>
    </w:rPr>
  </w:style>
  <w:style w:type="character" w:styleId="-">
    <w:name w:val="Hyperlink"/>
    <w:basedOn w:val="a0"/>
    <w:uiPriority w:val="99"/>
    <w:unhideWhenUsed/>
    <w:rsid w:val="00312B01"/>
    <w:rPr>
      <w:color w:val="56C7AA" w:themeColor="hyperlink"/>
      <w:u w:val="single"/>
    </w:rPr>
  </w:style>
  <w:style w:type="paragraph" w:customStyle="1" w:styleId="92">
    <w:name w:val="9. Τίτλος 2"/>
    <w:basedOn w:val="a"/>
    <w:link w:val="92Char"/>
    <w:qFormat/>
    <w:rsid w:val="00591434"/>
    <w:pPr>
      <w:spacing w:before="240" w:after="120"/>
    </w:pPr>
    <w:rPr>
      <w:rFonts w:eastAsia="Yu Gothic UI" w:cstheme="minorHAnsi"/>
      <w:b/>
      <w:szCs w:val="32"/>
      <w:lang w:val="el-GR"/>
    </w:rPr>
  </w:style>
  <w:style w:type="paragraph" w:customStyle="1" w:styleId="12">
    <w:name w:val="12. Βιβλιογραφία"/>
    <w:basedOn w:val="a"/>
    <w:link w:val="12Char"/>
    <w:qFormat/>
    <w:rsid w:val="00591434"/>
    <w:pPr>
      <w:ind w:left="709" w:hanging="709"/>
      <w:jc w:val="both"/>
    </w:pPr>
    <w:rPr>
      <w:rFonts w:eastAsia="Yu Gothic UI" w:cstheme="minorHAnsi"/>
      <w:szCs w:val="24"/>
      <w:lang w:val="el-GR"/>
    </w:rPr>
  </w:style>
  <w:style w:type="character" w:customStyle="1" w:styleId="92Char">
    <w:name w:val="9. Τίτλος 2 Char"/>
    <w:basedOn w:val="a0"/>
    <w:link w:val="92"/>
    <w:rsid w:val="00591434"/>
    <w:rPr>
      <w:rFonts w:ascii="Cambria" w:eastAsia="Yu Gothic UI" w:hAnsi="Cambria" w:cstheme="minorHAnsi"/>
      <w:b/>
      <w:sz w:val="24"/>
      <w:szCs w:val="32"/>
      <w:lang w:val="el-GR" w:eastAsia="nl-NL"/>
    </w:rPr>
  </w:style>
  <w:style w:type="character" w:customStyle="1" w:styleId="12Char">
    <w:name w:val="12. Βιβλιογραφία Char"/>
    <w:basedOn w:val="a0"/>
    <w:link w:val="12"/>
    <w:rsid w:val="00591434"/>
    <w:rPr>
      <w:rFonts w:ascii="Cambria" w:eastAsia="Yu Gothic UI" w:hAnsi="Cambria" w:cstheme="minorHAnsi"/>
      <w:sz w:val="24"/>
      <w:szCs w:val="24"/>
      <w:lang w:val="el-GR" w:eastAsia="nl-NL"/>
    </w:rPr>
  </w:style>
  <w:style w:type="paragraph" w:customStyle="1" w:styleId="AbstractReferencesHeading">
    <w:name w:val="Abstract/References Heading"/>
    <w:basedOn w:val="a"/>
    <w:link w:val="AbstractReferencesHeadingChar"/>
    <w:rsid w:val="00312B01"/>
    <w:pPr>
      <w:spacing w:after="120"/>
      <w:jc w:val="center"/>
    </w:pPr>
    <w:rPr>
      <w:rFonts w:eastAsia="Yu Gothic UI" w:cstheme="minorHAnsi"/>
      <w:bCs/>
      <w:szCs w:val="20"/>
      <w:lang w:val="el-GR"/>
    </w:rPr>
  </w:style>
  <w:style w:type="paragraph" w:customStyle="1" w:styleId="8">
    <w:name w:val="8. Κείμενο"/>
    <w:basedOn w:val="a"/>
    <w:link w:val="8Char"/>
    <w:autoRedefine/>
    <w:qFormat/>
    <w:rsid w:val="00591434"/>
    <w:pPr>
      <w:ind w:firstLine="709"/>
      <w:jc w:val="both"/>
    </w:pPr>
    <w:rPr>
      <w:rFonts w:eastAsia="Yu Gothic UI" w:cstheme="minorHAnsi"/>
      <w:szCs w:val="20"/>
      <w:lang w:val="el-GR"/>
    </w:rPr>
  </w:style>
  <w:style w:type="character" w:customStyle="1" w:styleId="AbstractReferencesHeadingChar">
    <w:name w:val="Abstract/References Heading Char"/>
    <w:basedOn w:val="a0"/>
    <w:link w:val="AbstractReferencesHeading"/>
    <w:rsid w:val="00312B01"/>
    <w:rPr>
      <w:rFonts w:ascii="Cambria" w:eastAsia="Yu Gothic UI" w:hAnsi="Cambria" w:cstheme="minorHAnsi"/>
      <w:bCs/>
      <w:sz w:val="24"/>
      <w:szCs w:val="20"/>
      <w:lang w:val="el-GR" w:eastAsia="nl-NL"/>
    </w:rPr>
  </w:style>
  <w:style w:type="character" w:customStyle="1" w:styleId="8Char">
    <w:name w:val="8. Κείμενο Char"/>
    <w:basedOn w:val="a0"/>
    <w:link w:val="8"/>
    <w:rsid w:val="00591434"/>
    <w:rPr>
      <w:rFonts w:ascii="Cambria" w:eastAsia="Yu Gothic UI" w:hAnsi="Cambria" w:cstheme="minorHAnsi"/>
      <w:sz w:val="24"/>
      <w:szCs w:val="20"/>
      <w:lang w:val="el-GR" w:eastAsia="nl-NL"/>
    </w:rPr>
  </w:style>
  <w:style w:type="paragraph" w:customStyle="1" w:styleId="Keywords">
    <w:name w:val="Keywords"/>
    <w:basedOn w:val="Text"/>
    <w:link w:val="KeywordsChar"/>
    <w:rsid w:val="00312B01"/>
  </w:style>
  <w:style w:type="paragraph" w:customStyle="1" w:styleId="71">
    <w:name w:val="7. Τίτλος 1"/>
    <w:basedOn w:val="a"/>
    <w:next w:val="8"/>
    <w:link w:val="71Char"/>
    <w:qFormat/>
    <w:rsid w:val="00591434"/>
    <w:pPr>
      <w:spacing w:before="240" w:after="120"/>
      <w:ind w:firstLine="357"/>
      <w:jc w:val="center"/>
    </w:pPr>
    <w:rPr>
      <w:rFonts w:eastAsia="Yu Gothic UI"/>
      <w:b/>
      <w:szCs w:val="26"/>
      <w:lang w:val="el-GR"/>
    </w:rPr>
  </w:style>
  <w:style w:type="character" w:customStyle="1" w:styleId="KeywordsChar">
    <w:name w:val="Keywords Char"/>
    <w:basedOn w:val="a0"/>
    <w:link w:val="Keywords"/>
    <w:rsid w:val="00312B01"/>
    <w:rPr>
      <w:rFonts w:ascii="Cambria" w:eastAsia="Yu Gothic UI" w:hAnsi="Cambria" w:cstheme="minorHAnsi"/>
      <w:sz w:val="24"/>
      <w:szCs w:val="20"/>
      <w:lang w:val="el-GR" w:eastAsia="nl-NL"/>
    </w:rPr>
  </w:style>
  <w:style w:type="character" w:customStyle="1" w:styleId="71Char">
    <w:name w:val="7. Τίτλος 1 Char"/>
    <w:basedOn w:val="a0"/>
    <w:link w:val="71"/>
    <w:rsid w:val="00591434"/>
    <w:rPr>
      <w:rFonts w:ascii="Cambria" w:eastAsia="Yu Gothic UI" w:hAnsi="Cambria" w:cs="Times New Roman"/>
      <w:b/>
      <w:sz w:val="24"/>
      <w:szCs w:val="26"/>
      <w:lang w:val="el-GR" w:eastAsia="nl-NL"/>
    </w:rPr>
  </w:style>
  <w:style w:type="paragraph" w:customStyle="1" w:styleId="AbstractText">
    <w:name w:val="Abstract Text"/>
    <w:basedOn w:val="a"/>
    <w:link w:val="AbstractTextChar"/>
    <w:rsid w:val="00312B01"/>
    <w:pPr>
      <w:jc w:val="both"/>
    </w:pPr>
    <w:rPr>
      <w:rFonts w:eastAsia="Calibri"/>
      <w:lang w:val="el-GR"/>
    </w:rPr>
  </w:style>
  <w:style w:type="character" w:customStyle="1" w:styleId="AbstractTextChar">
    <w:name w:val="Abstract Text Char"/>
    <w:basedOn w:val="a0"/>
    <w:link w:val="AbstractText"/>
    <w:rsid w:val="00312B01"/>
    <w:rPr>
      <w:rFonts w:ascii="Cambria" w:eastAsia="Calibri" w:hAnsi="Cambria" w:cs="Times New Roman"/>
      <w:sz w:val="24"/>
      <w:lang w:val="el-GR" w:eastAsia="nl-NL"/>
    </w:rPr>
  </w:style>
  <w:style w:type="paragraph" w:styleId="af9">
    <w:name w:val="List Paragraph"/>
    <w:basedOn w:val="a"/>
    <w:uiPriority w:val="34"/>
    <w:rsid w:val="00312B01"/>
    <w:pPr>
      <w:spacing w:after="200" w:line="276" w:lineRule="auto"/>
      <w:ind w:left="720"/>
      <w:contextualSpacing/>
    </w:pPr>
    <w:rPr>
      <w:rFonts w:eastAsia="Calibri"/>
      <w:lang w:val="el-GR" w:eastAsia="en-US"/>
    </w:rPr>
  </w:style>
  <w:style w:type="character" w:customStyle="1" w:styleId="UnresolvedMention">
    <w:name w:val="Unresolved Mention"/>
    <w:basedOn w:val="a0"/>
    <w:uiPriority w:val="99"/>
    <w:semiHidden/>
    <w:unhideWhenUsed/>
    <w:rsid w:val="00EC35AC"/>
    <w:rPr>
      <w:color w:val="605E5C"/>
      <w:shd w:val="clear" w:color="auto" w:fill="E1DFDD"/>
    </w:rPr>
  </w:style>
  <w:style w:type="paragraph" w:customStyle="1" w:styleId="Default">
    <w:name w:val="Default"/>
    <w:rsid w:val="00EC35AC"/>
    <w:pPr>
      <w:autoSpaceDE w:val="0"/>
      <w:autoSpaceDN w:val="0"/>
      <w:adjustRightInd w:val="0"/>
      <w:spacing w:after="0" w:line="240" w:lineRule="auto"/>
    </w:pPr>
    <w:rPr>
      <w:rFonts w:ascii="Times New Roman" w:eastAsiaTheme="minorEastAsia" w:hAnsi="Times New Roman" w:cs="Times New Roman"/>
      <w:color w:val="000000"/>
      <w:sz w:val="24"/>
      <w:szCs w:val="24"/>
      <w:lang w:val="el-GR" w:eastAsia="el-GR"/>
    </w:rPr>
  </w:style>
  <w:style w:type="paragraph" w:styleId="Web">
    <w:name w:val="Normal (Web)"/>
    <w:basedOn w:val="af1"/>
    <w:rsid w:val="00853A39"/>
    <w:rPr>
      <w:lang w:val="el-GR"/>
    </w:rPr>
  </w:style>
  <w:style w:type="paragraph" w:customStyle="1" w:styleId="4">
    <w:name w:val="4. Τίτλος Περίληψης και Βιβλιογραφίας"/>
    <w:basedOn w:val="a"/>
    <w:next w:val="5"/>
    <w:link w:val="4Char"/>
    <w:qFormat/>
    <w:rsid w:val="00EC35AC"/>
    <w:pPr>
      <w:spacing w:after="120"/>
      <w:jc w:val="center"/>
    </w:pPr>
    <w:rPr>
      <w:rFonts w:eastAsia="Yu Gothic UI" w:cstheme="minorHAnsi"/>
      <w:bCs/>
      <w:szCs w:val="20"/>
      <w:lang w:val="el-GR"/>
    </w:rPr>
  </w:style>
  <w:style w:type="character" w:customStyle="1" w:styleId="4Char">
    <w:name w:val="4. Τίτλος Περίληψης και Βιβλιογραφίας Char"/>
    <w:basedOn w:val="a0"/>
    <w:link w:val="4"/>
    <w:rsid w:val="00EC35AC"/>
    <w:rPr>
      <w:rFonts w:ascii="Cambria" w:eastAsia="Yu Gothic UI" w:hAnsi="Cambria" w:cstheme="minorHAnsi"/>
      <w:bCs/>
      <w:sz w:val="24"/>
      <w:szCs w:val="20"/>
      <w:lang w:val="el-GR" w:eastAsia="nl-NL"/>
    </w:rPr>
  </w:style>
  <w:style w:type="character" w:customStyle="1" w:styleId="tlid-translation">
    <w:name w:val="tlid-translation"/>
    <w:basedOn w:val="a0"/>
    <w:rsid w:val="00EC35AC"/>
  </w:style>
  <w:style w:type="character" w:customStyle="1" w:styleId="afa">
    <w:name w:val="Σύνδεσμος διαδικτύου"/>
    <w:basedOn w:val="a0"/>
    <w:rsid w:val="00EC35AC"/>
    <w:rPr>
      <w:color w:val="0000FF"/>
      <w:u w:val="single"/>
    </w:rPr>
  </w:style>
  <w:style w:type="character" w:customStyle="1" w:styleId="apple-converted-space">
    <w:name w:val="apple-converted-space"/>
    <w:basedOn w:val="a0"/>
    <w:rsid w:val="00EC35AC"/>
  </w:style>
  <w:style w:type="character" w:customStyle="1" w:styleId="1Char">
    <w:name w:val="Επικεφαλίδα 1 Char"/>
    <w:basedOn w:val="a0"/>
    <w:link w:val="1"/>
    <w:uiPriority w:val="9"/>
    <w:rsid w:val="00312B01"/>
    <w:rPr>
      <w:rFonts w:asciiTheme="majorHAnsi" w:eastAsiaTheme="majorEastAsia" w:hAnsiTheme="majorHAnsi" w:cstheme="majorBidi"/>
      <w:color w:val="31479E" w:themeColor="accent1" w:themeShade="BF"/>
      <w:sz w:val="32"/>
      <w:szCs w:val="32"/>
      <w:lang w:eastAsia="nl-NL"/>
    </w:rPr>
  </w:style>
  <w:style w:type="paragraph" w:styleId="af1">
    <w:name w:val="TOC Heading"/>
    <w:aliases w:val=".Κείμενο περίληψης,κκ"/>
    <w:basedOn w:val="Text"/>
    <w:next w:val="a"/>
    <w:link w:val="Charf1"/>
    <w:uiPriority w:val="39"/>
    <w:unhideWhenUsed/>
    <w:rsid w:val="00312B01"/>
    <w:pPr>
      <w:spacing w:line="480" w:lineRule="auto"/>
      <w:mirrorIndents/>
    </w:pPr>
    <w:rPr>
      <w:lang w:val="en-GB" w:eastAsia="en-GB"/>
    </w:rPr>
  </w:style>
  <w:style w:type="character" w:customStyle="1" w:styleId="Charf1">
    <w:name w:val="Επικεφαλίδα ΠΠ Char"/>
    <w:aliases w:val=".Κείμενο περίληψης Char,κκ Char"/>
    <w:basedOn w:val="Charf2"/>
    <w:link w:val="af1"/>
    <w:uiPriority w:val="39"/>
    <w:rsid w:val="00312B01"/>
    <w:rPr>
      <w:rFonts w:ascii="Cambria" w:eastAsia="Yu Gothic UI" w:hAnsi="Cambria" w:cstheme="minorHAnsi"/>
      <w:b w:val="0"/>
      <w:bCs w:val="0"/>
      <w:sz w:val="24"/>
      <w:szCs w:val="20"/>
      <w:lang w:val="en-GB" w:eastAsia="en-GB"/>
    </w:rPr>
  </w:style>
  <w:style w:type="paragraph" w:styleId="11">
    <w:name w:val="toc 1"/>
    <w:basedOn w:val="a"/>
    <w:next w:val="a"/>
    <w:autoRedefine/>
    <w:uiPriority w:val="39"/>
    <w:unhideWhenUsed/>
    <w:rsid w:val="00161EB0"/>
    <w:pPr>
      <w:spacing w:after="100"/>
    </w:pPr>
  </w:style>
  <w:style w:type="character" w:styleId="-0">
    <w:name w:val="FollowedHyperlink"/>
    <w:basedOn w:val="a0"/>
    <w:uiPriority w:val="99"/>
    <w:semiHidden/>
    <w:unhideWhenUsed/>
    <w:rsid w:val="00161EB0"/>
    <w:rPr>
      <w:color w:val="59A8D1" w:themeColor="followedHyperlink"/>
      <w:u w:val="single"/>
    </w:rPr>
  </w:style>
  <w:style w:type="paragraph" w:styleId="20">
    <w:name w:val="toc 2"/>
    <w:basedOn w:val="a"/>
    <w:next w:val="a"/>
    <w:autoRedefine/>
    <w:uiPriority w:val="39"/>
    <w:unhideWhenUsed/>
    <w:rsid w:val="00161EB0"/>
    <w:pPr>
      <w:spacing w:after="100" w:line="259" w:lineRule="auto"/>
      <w:ind w:left="220"/>
    </w:pPr>
    <w:rPr>
      <w:rFonts w:asciiTheme="minorHAnsi" w:eastAsiaTheme="minorEastAsia" w:hAnsiTheme="minorHAnsi"/>
      <w:sz w:val="22"/>
      <w:lang w:val="en-GB" w:eastAsia="en-GB"/>
    </w:rPr>
  </w:style>
  <w:style w:type="paragraph" w:styleId="30">
    <w:name w:val="toc 3"/>
    <w:basedOn w:val="a"/>
    <w:next w:val="a"/>
    <w:autoRedefine/>
    <w:uiPriority w:val="39"/>
    <w:unhideWhenUsed/>
    <w:rsid w:val="00161EB0"/>
    <w:pPr>
      <w:spacing w:after="100" w:line="259" w:lineRule="auto"/>
      <w:ind w:left="440"/>
    </w:pPr>
    <w:rPr>
      <w:rFonts w:asciiTheme="minorHAnsi" w:eastAsiaTheme="minorEastAsia" w:hAnsiTheme="minorHAnsi"/>
      <w:sz w:val="22"/>
      <w:lang w:val="en-GB" w:eastAsia="en-GB"/>
    </w:rPr>
  </w:style>
  <w:style w:type="character" w:styleId="afb">
    <w:name w:val="Placeholder Text"/>
    <w:basedOn w:val="a0"/>
    <w:uiPriority w:val="99"/>
    <w:semiHidden/>
    <w:rsid w:val="005F6A5F"/>
    <w:rPr>
      <w:color w:val="808080"/>
    </w:rPr>
  </w:style>
  <w:style w:type="paragraph" w:customStyle="1" w:styleId="Subheading">
    <w:name w:val="Subheading"/>
    <w:basedOn w:val="a"/>
    <w:link w:val="SubheadingChar"/>
    <w:rsid w:val="00312B01"/>
    <w:pPr>
      <w:spacing w:before="240" w:after="120"/>
    </w:pPr>
    <w:rPr>
      <w:rFonts w:eastAsia="Yu Gothic UI" w:cstheme="minorHAnsi"/>
      <w:b/>
      <w:szCs w:val="32"/>
      <w:lang w:val="el-GR"/>
    </w:rPr>
  </w:style>
  <w:style w:type="paragraph" w:customStyle="1" w:styleId="References">
    <w:name w:val="References"/>
    <w:basedOn w:val="a"/>
    <w:link w:val="ReferencesChar"/>
    <w:rsid w:val="00312B01"/>
    <w:pPr>
      <w:ind w:left="709" w:hanging="709"/>
      <w:jc w:val="both"/>
    </w:pPr>
    <w:rPr>
      <w:rFonts w:eastAsia="Yu Gothic UI" w:cstheme="minorHAnsi"/>
      <w:szCs w:val="24"/>
      <w:lang w:val="el-GR"/>
    </w:rPr>
  </w:style>
  <w:style w:type="character" w:customStyle="1" w:styleId="SubheadingChar">
    <w:name w:val="Subheading Char"/>
    <w:basedOn w:val="a0"/>
    <w:link w:val="Subheading"/>
    <w:rsid w:val="00312B01"/>
    <w:rPr>
      <w:rFonts w:ascii="Cambria" w:eastAsia="Yu Gothic UI" w:hAnsi="Cambria" w:cstheme="minorHAnsi"/>
      <w:b/>
      <w:sz w:val="24"/>
      <w:szCs w:val="32"/>
      <w:lang w:val="el-GR" w:eastAsia="nl-NL"/>
    </w:rPr>
  </w:style>
  <w:style w:type="character" w:customStyle="1" w:styleId="ReferencesChar">
    <w:name w:val="References Char"/>
    <w:basedOn w:val="a0"/>
    <w:link w:val="References"/>
    <w:rsid w:val="00312B01"/>
    <w:rPr>
      <w:rFonts w:ascii="Cambria" w:eastAsia="Yu Gothic UI" w:hAnsi="Cambria" w:cstheme="minorHAnsi"/>
      <w:sz w:val="24"/>
      <w:szCs w:val="24"/>
      <w:lang w:val="el-GR" w:eastAsia="nl-NL"/>
    </w:rPr>
  </w:style>
  <w:style w:type="paragraph" w:customStyle="1" w:styleId="Text">
    <w:name w:val="Text"/>
    <w:basedOn w:val="a"/>
    <w:link w:val="TextChar"/>
    <w:autoRedefine/>
    <w:rsid w:val="00312B01"/>
    <w:pPr>
      <w:ind w:firstLine="709"/>
      <w:jc w:val="both"/>
    </w:pPr>
    <w:rPr>
      <w:rFonts w:eastAsia="Yu Gothic UI" w:cstheme="minorHAnsi"/>
      <w:szCs w:val="20"/>
      <w:lang w:val="el-GR"/>
    </w:rPr>
  </w:style>
  <w:style w:type="character" w:customStyle="1" w:styleId="TextChar">
    <w:name w:val="Text Char"/>
    <w:basedOn w:val="a0"/>
    <w:link w:val="Text"/>
    <w:rsid w:val="00312B01"/>
    <w:rPr>
      <w:rFonts w:ascii="Cambria" w:eastAsia="Yu Gothic UI" w:hAnsi="Cambria" w:cstheme="minorHAnsi"/>
      <w:sz w:val="24"/>
      <w:szCs w:val="20"/>
      <w:lang w:val="el-GR" w:eastAsia="nl-NL"/>
    </w:rPr>
  </w:style>
  <w:style w:type="paragraph" w:customStyle="1" w:styleId="Heading">
    <w:name w:val="Heading"/>
    <w:basedOn w:val="a"/>
    <w:next w:val="Text"/>
    <w:link w:val="HeadingChar"/>
    <w:rsid w:val="00312B01"/>
    <w:pPr>
      <w:spacing w:before="240" w:after="120"/>
      <w:ind w:firstLine="357"/>
      <w:jc w:val="center"/>
    </w:pPr>
    <w:rPr>
      <w:rFonts w:eastAsia="Yu Gothic UI"/>
      <w:b/>
      <w:szCs w:val="26"/>
      <w:lang w:val="el-GR"/>
    </w:rPr>
  </w:style>
  <w:style w:type="character" w:customStyle="1" w:styleId="HeadingChar">
    <w:name w:val="Heading Char"/>
    <w:basedOn w:val="a0"/>
    <w:link w:val="Heading"/>
    <w:rsid w:val="00312B01"/>
    <w:rPr>
      <w:rFonts w:ascii="Cambria" w:eastAsia="Yu Gothic UI" w:hAnsi="Cambria" w:cs="Times New Roman"/>
      <w:b/>
      <w:sz w:val="24"/>
      <w:szCs w:val="26"/>
      <w:lang w:val="el-GR" w:eastAsia="nl-NL"/>
    </w:rPr>
  </w:style>
  <w:style w:type="paragraph" w:customStyle="1" w:styleId="afc">
    <w:name w:val="Τίτλοι"/>
    <w:basedOn w:val="a"/>
    <w:next w:val="Text"/>
    <w:link w:val="Charf2"/>
    <w:rsid w:val="00312B01"/>
    <w:pPr>
      <w:spacing w:after="480"/>
      <w:jc w:val="center"/>
    </w:pPr>
    <w:rPr>
      <w:rFonts w:eastAsia="Yu Gothic UI" w:cstheme="minorHAnsi"/>
      <w:b/>
      <w:bCs/>
      <w:sz w:val="28"/>
      <w:szCs w:val="26"/>
      <w:lang w:val="el-GR"/>
    </w:rPr>
  </w:style>
  <w:style w:type="character" w:customStyle="1" w:styleId="Charf2">
    <w:name w:val="Τίτλοι Char"/>
    <w:basedOn w:val="a0"/>
    <w:link w:val="afc"/>
    <w:rsid w:val="00312B01"/>
    <w:rPr>
      <w:rFonts w:ascii="Cambria" w:eastAsia="Yu Gothic UI" w:hAnsi="Cambria" w:cstheme="minorHAnsi"/>
      <w:b/>
      <w:bCs/>
      <w:sz w:val="28"/>
      <w:szCs w:val="26"/>
      <w:lang w:val="el-GR" w:eastAsia="nl-NL"/>
    </w:rPr>
  </w:style>
  <w:style w:type="paragraph" w:customStyle="1" w:styleId="afd">
    <w:name w:val="Ονόματα Συγγραφέων"/>
    <w:basedOn w:val="a"/>
    <w:link w:val="Charf3"/>
    <w:rsid w:val="00312B01"/>
    <w:pPr>
      <w:spacing w:line="264" w:lineRule="auto"/>
      <w:ind w:firstLine="425"/>
      <w:jc w:val="center"/>
    </w:pPr>
    <w:rPr>
      <w:rFonts w:eastAsia="Yu Gothic UI" w:cstheme="minorHAnsi"/>
      <w:b/>
      <w:sz w:val="26"/>
      <w:szCs w:val="24"/>
      <w:lang w:val="el-GR"/>
    </w:rPr>
  </w:style>
  <w:style w:type="character" w:customStyle="1" w:styleId="Charf3">
    <w:name w:val="Ονόματα Συγγραφέων Char"/>
    <w:basedOn w:val="a0"/>
    <w:link w:val="afd"/>
    <w:rsid w:val="00312B01"/>
    <w:rPr>
      <w:rFonts w:ascii="Cambria" w:eastAsia="Yu Gothic UI" w:hAnsi="Cambria" w:cstheme="minorHAnsi"/>
      <w:b/>
      <w:sz w:val="26"/>
      <w:szCs w:val="24"/>
      <w:lang w:val="el-GR" w:eastAsia="nl-NL"/>
    </w:rPr>
  </w:style>
  <w:style w:type="paragraph" w:customStyle="1" w:styleId="afe">
    <w:name w:val="Πανεπιστήμιο"/>
    <w:basedOn w:val="a"/>
    <w:link w:val="Charf4"/>
    <w:rsid w:val="00312B01"/>
    <w:pPr>
      <w:spacing w:after="480" w:line="264" w:lineRule="auto"/>
      <w:contextualSpacing/>
      <w:jc w:val="center"/>
    </w:pPr>
    <w:rPr>
      <w:rFonts w:eastAsia="Yu Gothic UI" w:cstheme="minorHAnsi"/>
      <w:i/>
      <w:szCs w:val="32"/>
      <w:lang w:val="el-GR"/>
    </w:rPr>
  </w:style>
  <w:style w:type="character" w:customStyle="1" w:styleId="Charf4">
    <w:name w:val="Πανεπιστήμιο Char"/>
    <w:basedOn w:val="a0"/>
    <w:link w:val="afe"/>
    <w:rsid w:val="00312B01"/>
    <w:rPr>
      <w:rFonts w:ascii="Cambria" w:eastAsia="Yu Gothic UI" w:hAnsi="Cambria" w:cstheme="minorHAnsi"/>
      <w:i/>
      <w:sz w:val="24"/>
      <w:szCs w:val="32"/>
      <w:lang w:val="el-GR" w:eastAsia="nl-NL"/>
    </w:rPr>
  </w:style>
  <w:style w:type="paragraph" w:customStyle="1" w:styleId="aff">
    <w:name w:val="Κείμενο Περίληψης"/>
    <w:basedOn w:val="a"/>
    <w:link w:val="Charf5"/>
    <w:autoRedefine/>
    <w:rsid w:val="00312B01"/>
    <w:pPr>
      <w:ind w:left="567" w:right="567"/>
      <w:jc w:val="both"/>
    </w:pPr>
    <w:rPr>
      <w:rFonts w:eastAsia="Yu Gothic UI" w:cstheme="minorHAnsi"/>
      <w:sz w:val="22"/>
      <w:szCs w:val="20"/>
      <w:lang w:val="el-GR"/>
    </w:rPr>
  </w:style>
  <w:style w:type="character" w:customStyle="1" w:styleId="Charf5">
    <w:name w:val="Κείμενο Περίληψης Char"/>
    <w:basedOn w:val="a0"/>
    <w:link w:val="aff"/>
    <w:rsid w:val="00312B01"/>
    <w:rPr>
      <w:rFonts w:ascii="Cambria" w:eastAsia="Yu Gothic UI" w:hAnsi="Cambria" w:cstheme="minorHAnsi"/>
      <w:szCs w:val="20"/>
      <w:lang w:val="el-GR" w:eastAsia="nl-NL"/>
    </w:rPr>
  </w:style>
  <w:style w:type="paragraph" w:customStyle="1" w:styleId="-1">
    <w:name w:val="Λέξεις-κλειδιά"/>
    <w:basedOn w:val="a"/>
    <w:link w:val="-Char"/>
    <w:rsid w:val="00312B01"/>
    <w:pPr>
      <w:spacing w:after="480" w:line="264" w:lineRule="auto"/>
      <w:ind w:left="567" w:right="566"/>
      <w:jc w:val="both"/>
    </w:pPr>
    <w:rPr>
      <w:rFonts w:eastAsia="Yu Gothic UI" w:cstheme="minorHAnsi"/>
      <w:sz w:val="22"/>
      <w:szCs w:val="20"/>
      <w:lang w:val="el-GR"/>
    </w:rPr>
  </w:style>
  <w:style w:type="character" w:customStyle="1" w:styleId="-Char">
    <w:name w:val="Λέξεις-κλειδιά Char"/>
    <w:basedOn w:val="a0"/>
    <w:link w:val="-1"/>
    <w:rsid w:val="00312B01"/>
    <w:rPr>
      <w:rFonts w:ascii="Cambria" w:eastAsia="Yu Gothic UI" w:hAnsi="Cambria" w:cstheme="minorHAnsi"/>
      <w:szCs w:val="20"/>
      <w:lang w:val="el-G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about:blank"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about:blan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about:blank" TargetMode="External"/></Relationships>

</file>

<file path=word/theme/theme1.xml><?xml version="1.0" encoding="utf-8"?>
<a:theme xmlns:a="http://schemas.openxmlformats.org/drawingml/2006/main" name="Περικοπή">
  <a:themeElements>
    <a:clrScheme name="Πνοή">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Περικοπή">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Περικοπή">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Χ</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A74133-3B0F-432F-AB3C-002135434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Εκπαιδευτική Αξιολόγηση (Πρότυπο)</Template>
  <TotalTime>1</TotalTime>
  <Pages>13</Pages>
  <Words>6566</Words>
  <Characters>35462</Characters>
  <Application>Microsoft Office Word</Application>
  <DocSecurity>0</DocSecurity>
  <Lines>295</Lines>
  <Paragraphs>83</Paragraphs>
  <ScaleCrop>false</ScaleCrop>
  <HeadingPairs>
    <vt:vector size="8" baseType="variant">
      <vt:variant>
        <vt:lpstr>Τίτλος</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Ελληνική Επιθεώρηση Εκπαιδευτικής Αξιολόγησης</vt:lpstr>
      <vt:lpstr>[Trek de aandacht van uw lezer met een veelzeggend citaat uit het document of gebruik deze ruimte om een belangrijk punt te benadrukken. Sleep dit tekstvak als u het ergens anders op de pagina wilt plaatsen.]</vt:lpstr>
      <vt:lpstr/>
      <vt:lpstr/>
    </vt:vector>
  </TitlesOfParts>
  <Company/>
  <LinksUpToDate>false</LinksUpToDate>
  <CharactersWithSpaces>41945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Ελληνική Επιθεώρηση Εκπαιδευτικής Αξιολόγησης</dc:title>
  <dc:subject>Τεύχος 5 - Χειμώνας 2020</dc:subject>
  <dc:creator>karatzanos</dc:creator>
  <cp:lastModifiedBy>User</cp:lastModifiedBy>
  <cp:revision>2</cp:revision>
  <cp:lastPrinted>2018-01-10T12:01:00Z</cp:lastPrinted>
  <dcterms:created xsi:type="dcterms:W3CDTF">2024-06-26T08:42:00Z</dcterms:created>
  <dcterms:modified xsi:type="dcterms:W3CDTF">2024-06-26T08:42:00Z</dcterms:modified>
</cp:coreProperties>
</file>